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10716"/>
      </w:tblGrid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 w14:paraId="13000000">
            <w:pPr>
              <w:pStyle w:val="Style_1"/>
            </w:pPr>
            <w:r>
              <w:drawing>
                <wp:inline>
                  <wp:extent cx="3810000" cy="90487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3810000" cy="9048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hRule="exact" w:val="8335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4000000">
            <w:pPr>
              <w:pStyle w:val="Style_1"/>
              <w:widowControl w:val="1"/>
              <w:ind/>
              <w:jc w:val="center"/>
            </w:pPr>
            <w:r>
              <w:rPr>
                <w:sz w:val="48"/>
              </w:rPr>
              <w:t>Постановление Правительства РФ от 21.08.2012 N 841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(ред. от 16.03.2026)</w:t>
            </w:r>
            <w:r>
              <w:rPr>
                <w:sz w:val="48"/>
              </w:rPr>
              <w:br/>
            </w:r>
            <w:r>
              <w:rPr>
                <w:sz w:val="48"/>
              </w:rPr>
              <w:t>"О соблюдении работниками государственных корпораций, государственных компаний и публично-правовых компаний положений статьи 349.1 Трудового кодекса Российской Федерации"</w:t>
            </w:r>
          </w:p>
        </w:tc>
      </w:tr>
      <w:tr>
        <w:trPr>
          <w:trHeight w:hRule="exact" w:val="3031"/>
        </w:trPr>
        <w:tc>
          <w:tcPr>
            <w:tcW w:type="dxa" w:w="10716"/>
            <w:tcBorders>
              <w:top w:sz="4" w:val="nil"/>
              <w:left w:sz="4" w:val="nil"/>
              <w:bottom w:sz="4" w:val="nil"/>
              <w:right w:sz="4" w:val="nil"/>
            </w:tcBorders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 w14:paraId="15000000">
            <w:pPr>
              <w:pStyle w:val="Style_1"/>
              <w:widowControl w:val="1"/>
              <w:ind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r>
              <w:rPr>
                <w:b w:val="1"/>
                <w:color w:val="0000FF"/>
                <w:sz w:val="28"/>
              </w:rPr>
              <w:fldChar w:fldCharType="begin"/>
            </w:r>
            <w:r>
              <w:rPr>
                <w:b w:val="1"/>
                <w:color w:val="0000FF"/>
                <w:sz w:val="28"/>
              </w:rPr>
              <w:instrText>HYPERLINK "https://www.consultant.ru" \o "Ссылка на КонсультантПлюс"</w:instrText>
            </w:r>
            <w:r>
              <w:rPr>
                <w:b w:val="1"/>
                <w:color w:val="0000FF"/>
                <w:sz w:val="28"/>
              </w:rPr>
              <w:fldChar w:fldCharType="separate"/>
            </w:r>
            <w:r>
              <w:rPr>
                <w:b w:val="1"/>
                <w:color w:val="0000FF"/>
                <w:sz w:val="28"/>
              </w:rPr>
              <w:t>КонсультантПлюс</w:t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br/>
            </w:r>
            <w:r>
              <w:rPr>
                <w:b w:val="1"/>
                <w:color w:val="0000FF"/>
                <w:sz w:val="28"/>
              </w:rPr>
              <w:t>www.consultant.ru</w:t>
            </w:r>
            <w:r>
              <w:rPr>
                <w:b w:val="1"/>
                <w:color w:val="0000FF"/>
                <w:sz w:val="28"/>
              </w:rPr>
              <w:fldChar w:fldCharType="end"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t>Дата сохранения: 21.08.2026</w:t>
            </w:r>
            <w:r>
              <w:rPr>
                <w:sz w:val="28"/>
              </w:rPr>
              <w:br/>
            </w:r>
            <w:r>
              <w:rPr>
                <w:sz w:val="28"/>
              </w:rPr>
              <w:t> </w:t>
            </w:r>
          </w:p>
        </w:tc>
      </w:tr>
    </w:tbl>
    <w:p w14:paraId="16000000">
      <w:pPr>
        <w:sectPr>
          <w:pgSz w:h="16838" w:orient="portrait" w:w="11906"/>
          <w:pgMar w:bottom="841" w:footer="0" w:gutter="0" w:header="0" w:left="595" w:right="595" w:top="841"/>
          <w:titlePg/>
        </w:sectPr>
      </w:pPr>
    </w:p>
    <w:p w14:paraId="17000000">
      <w:pPr>
        <w:pStyle w:val="Style_2"/>
        <w:widowControl w:val="1"/>
        <w:ind/>
        <w:jc w:val="center"/>
        <w:outlineLvl w:val="0"/>
      </w:pPr>
    </w:p>
    <w:p w14:paraId="18000000">
      <w:pPr>
        <w:pStyle w:val="Style_3"/>
        <w:widowControl w:val="1"/>
        <w:ind/>
        <w:jc w:val="center"/>
        <w:outlineLvl w:val="0"/>
      </w:pPr>
      <w:r>
        <w:rPr>
          <w:sz w:val="24"/>
        </w:rPr>
        <w:t>ПРАВИТЕЛЬСТВО РОССИЙСКОЙ ФЕДЕРАЦИИ</w:t>
      </w:r>
    </w:p>
    <w:p w14:paraId="19000000">
      <w:pPr>
        <w:pStyle w:val="Style_3"/>
        <w:widowControl w:val="1"/>
        <w:ind/>
        <w:jc w:val="center"/>
      </w:pPr>
    </w:p>
    <w:p w14:paraId="1A000000">
      <w:pPr>
        <w:pStyle w:val="Style_3"/>
        <w:widowControl w:val="1"/>
        <w:ind/>
        <w:jc w:val="center"/>
      </w:pPr>
      <w:r>
        <w:rPr>
          <w:sz w:val="24"/>
        </w:rPr>
        <w:t>ПОСТАНОВЛЕНИЕ</w:t>
      </w:r>
    </w:p>
    <w:p w14:paraId="1B000000">
      <w:pPr>
        <w:pStyle w:val="Style_3"/>
        <w:widowControl w:val="1"/>
        <w:ind/>
        <w:jc w:val="center"/>
      </w:pPr>
      <w:r>
        <w:rPr>
          <w:sz w:val="24"/>
        </w:rPr>
        <w:t>от 21 августа 2012 г. N 841</w:t>
      </w:r>
    </w:p>
    <w:p w14:paraId="1C000000">
      <w:pPr>
        <w:pStyle w:val="Style_3"/>
        <w:widowControl w:val="1"/>
        <w:ind/>
        <w:jc w:val="center"/>
      </w:pPr>
    </w:p>
    <w:p w14:paraId="1D000000">
      <w:pPr>
        <w:pStyle w:val="Style_3"/>
        <w:widowControl w:val="1"/>
        <w:ind/>
        <w:jc w:val="center"/>
      </w:pPr>
      <w:r>
        <w:rPr>
          <w:sz w:val="24"/>
        </w:rPr>
        <w:t>О СОБЛЮДЕНИИ</w:t>
      </w:r>
    </w:p>
    <w:p w14:paraId="1E000000">
      <w:pPr>
        <w:pStyle w:val="Style_3"/>
        <w:widowControl w:val="1"/>
        <w:ind/>
        <w:jc w:val="center"/>
      </w:pPr>
      <w:r>
        <w:rPr>
          <w:sz w:val="24"/>
        </w:rPr>
        <w:t>РАБОТНИКАМИ ГОСУДАРСТВЕННЫХ КОРПОРАЦИЙ, ГОСУДАРСТВЕННЫХ</w:t>
      </w:r>
    </w:p>
    <w:p w14:paraId="1F000000">
      <w:pPr>
        <w:pStyle w:val="Style_3"/>
        <w:widowControl w:val="1"/>
        <w:ind/>
        <w:jc w:val="center"/>
      </w:pPr>
      <w:r>
        <w:rPr>
          <w:sz w:val="24"/>
        </w:rPr>
        <w:t>КОМПАНИЙ И ПУБЛИЧНО-ПРАВОВЫХ КОМПАНИЙ ПОЛОЖЕНИЙ СТАТЬИ 349.1</w:t>
      </w:r>
    </w:p>
    <w:p w14:paraId="20000000">
      <w:pPr>
        <w:pStyle w:val="Style_3"/>
        <w:widowControl w:val="1"/>
        <w:ind/>
        <w:jc w:val="center"/>
      </w:pPr>
      <w:r>
        <w:rPr>
          <w:sz w:val="24"/>
        </w:rPr>
        <w:t>ТРУДОВОГО КОДЕКСА РОССИЙСКОЙ ФЕДЕРАЦИИ</w:t>
      </w:r>
    </w:p>
    <w:p w14:paraId="21000000">
      <w:pPr>
        <w:widowControl w:val="1"/>
        <w:spacing w:before="0"/>
        <w:ind/>
      </w:pPr>
    </w:p>
    <w:tbl>
      <w:tblPr>
        <w:tblW w:type="auto" w:w="0"/>
        <w:tblInd w:type="dxa" w:w="0"/>
        <w:tblBorders>
          <w:top w:sz="4" w:val="nil"/>
          <w:left w:sz="4" w:val="nil"/>
          <w:bottom w:sz="4" w:val="nil"/>
          <w:right w:sz="4" w:val="nil"/>
          <w:insideH w:sz="4" w:val="nil"/>
          <w:insideV w:sz="4" w:val="nil"/>
        </w:tblBorders>
        <w:tblLayout w:type="fixed"/>
      </w:tblPr>
      <w:tblGrid>
        <w:gridCol w:w="60"/>
        <w:gridCol w:w="113"/>
        <w:gridCol w:w="9921"/>
        <w:gridCol w:w="113"/>
      </w:tblGrid>
      <w:tr>
        <w:tc>
          <w:tcPr>
            <w:tcW w:type="dxa" w:w="60"/>
            <w:tcBorders>
              <w:top w:sz="4" w:val="nil"/>
              <w:left w:sz="4" w:val="nil"/>
              <w:bottom w:sz="4" w:val="nil"/>
              <w:right w:sz="4" w:val="nil"/>
            </w:tcBorders>
            <w:shd w:fill="CED3F1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  <w:tc>
          <w:tcPr>
            <w:tcW w:type="dxa" w:w="9921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113"/>
              <w:left w:type="dxa" w:w="0"/>
              <w:bottom w:type="dxa" w:w="113"/>
              <w:right w:type="dxa" w:w="0"/>
            </w:tcMar>
          </w:tcPr>
          <w:p w14:paraId="22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>Список изменяющих документов</w:t>
            </w:r>
          </w:p>
          <w:p w14:paraId="23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(в ред. Постановлений Правительства РФ от 27.06.2013 </w:t>
            </w:r>
            <w:r>
              <w:rPr>
                <w:color w:val="392C69"/>
                <w:sz w:val="24"/>
              </w:rPr>
              <w:t>N 541</w:t>
            </w:r>
            <w:r>
              <w:rPr>
                <w:color w:val="392C69"/>
                <w:sz w:val="24"/>
              </w:rPr>
              <w:t>,</w:t>
            </w:r>
          </w:p>
          <w:p w14:paraId="24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13.05.2015 </w:t>
            </w:r>
            <w:r>
              <w:rPr>
                <w:color w:val="392C69"/>
                <w:sz w:val="24"/>
              </w:rPr>
              <w:t>N 462</w:t>
            </w:r>
            <w:r>
              <w:rPr>
                <w:color w:val="392C69"/>
                <w:sz w:val="24"/>
              </w:rPr>
              <w:t xml:space="preserve">, от 28.06.2016 </w:t>
            </w:r>
            <w:r>
              <w:rPr>
                <w:color w:val="392C69"/>
                <w:sz w:val="24"/>
              </w:rPr>
              <w:t>N 594</w:t>
            </w:r>
            <w:r>
              <w:rPr>
                <w:color w:val="392C69"/>
                <w:sz w:val="24"/>
              </w:rPr>
              <w:t xml:space="preserve">, от 30.12.2018 </w:t>
            </w:r>
            <w:r>
              <w:rPr>
                <w:color w:val="392C69"/>
                <w:sz w:val="24"/>
              </w:rPr>
              <w:t>N 1758</w:t>
            </w:r>
            <w:r>
              <w:rPr>
                <w:color w:val="392C69"/>
                <w:sz w:val="24"/>
              </w:rPr>
              <w:t>,</w:t>
            </w:r>
          </w:p>
          <w:p w14:paraId="25000000">
            <w:pPr>
              <w:pStyle w:val="Style_2"/>
              <w:widowControl w:val="1"/>
              <w:ind/>
              <w:jc w:val="center"/>
            </w:pPr>
            <w:r>
              <w:rPr>
                <w:color w:val="392C69"/>
                <w:sz w:val="24"/>
              </w:rPr>
              <w:t xml:space="preserve">от 16.07.2020 </w:t>
            </w:r>
            <w:r>
              <w:rPr>
                <w:color w:val="392C69"/>
                <w:sz w:val="24"/>
              </w:rPr>
              <w:t>N 1059</w:t>
            </w:r>
            <w:r>
              <w:rPr>
                <w:color w:val="392C69"/>
                <w:sz w:val="24"/>
              </w:rPr>
              <w:t xml:space="preserve">, от 16.03.2026 </w:t>
            </w:r>
            <w:r>
              <w:rPr>
                <w:color w:val="392C69"/>
                <w:sz w:val="24"/>
              </w:rPr>
              <w:t>N 272</w:t>
            </w:r>
            <w:r>
              <w:rPr>
                <w:color w:val="392C69"/>
                <w:sz w:val="24"/>
              </w:rPr>
              <w:t>)</w:t>
            </w:r>
          </w:p>
        </w:tc>
        <w:tc>
          <w:tcPr>
            <w:tcW w:type="dxa" w:w="113"/>
            <w:tcBorders>
              <w:top w:sz="4" w:val="nil"/>
              <w:left w:sz="4" w:val="nil"/>
              <w:bottom w:sz="4" w:val="nil"/>
              <w:right w:sz="4" w:val="nil"/>
            </w:tcBorders>
            <w:shd w:fill="F4F3F8" w:val="clear"/>
            <w:tcMar>
              <w:top w:type="dxa" w:w="0"/>
              <w:left w:type="dxa" w:w="0"/>
              <w:bottom w:type="dxa" w:w="0"/>
              <w:right w:type="dxa" w:w="0"/>
            </w:tcMar>
          </w:tcPr>
          <w:p/>
        </w:tc>
      </w:tr>
    </w:tbl>
    <w:p w14:paraId="26000000">
      <w:pPr>
        <w:pStyle w:val="Style_2"/>
        <w:widowControl w:val="1"/>
        <w:ind w:firstLine="540"/>
        <w:jc w:val="both"/>
      </w:pPr>
    </w:p>
    <w:p w14:paraId="27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В соответствии со </w:t>
      </w:r>
      <w:r>
        <w:rPr>
          <w:sz w:val="24"/>
        </w:rPr>
        <w:t>статьей 349.1</w:t>
      </w:r>
      <w:r>
        <w:rPr>
          <w:sz w:val="24"/>
        </w:rPr>
        <w:t xml:space="preserve"> Трудового кодекса Российской Федерации Правительство Российской Федерации постановляет:</w:t>
      </w:r>
    </w:p>
    <w:p w14:paraId="2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1. Утратил силу. -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РФ от 27.06.2013 N 541.</w:t>
      </w:r>
    </w:p>
    <w:p w14:paraId="2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1(1). Установить, что:</w:t>
      </w:r>
    </w:p>
    <w:p w14:paraId="2A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работник государственной корпорации (государственной компании, публично-правовой компании), замещающий должность, назначение на которую и освобождение от которой осуществляются Президентом Российской Федерации или Правительством Российской Федерации, или другую должность, включенную в </w:t>
      </w:r>
      <w:r>
        <w:rPr>
          <w:sz w:val="24"/>
        </w:rPr>
        <w:t>перечень</w:t>
      </w:r>
      <w:r>
        <w:rPr>
          <w:sz w:val="24"/>
        </w:rPr>
        <w:t xml:space="preserve">, установленный локальным нормативным актом государственной корпорации (государственной компании, публично-правовой компании), обязан представлять в порядке, определяемом в соответствии с </w:t>
      </w:r>
      <w:r>
        <w:rPr>
          <w:sz w:val="24"/>
        </w:rPr>
        <w:t>Указом</w:t>
      </w:r>
      <w:r>
        <w:rPr>
          <w:sz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и иными нормативными правовыми актами Российской Федерации, сведения о доходах, об имуществе и обязательствах имущественного характера, предусмотренные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"О противодействии коррупции", и сведения о расходах, предусмотренные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"О контроле за соответствием расходов лиц, замещающих государственные должности, и иных лиц их доходам", в случаях, установленных указанными федеральными законами;</w:t>
      </w:r>
    </w:p>
    <w:p w14:paraId="2B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16.07.2020 </w:t>
      </w:r>
      <w:r>
        <w:rPr>
          <w:sz w:val="24"/>
        </w:rPr>
        <w:t>N 1059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2C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гражданин, претендующий на замещение в государственной корпорации (государственной компании, публично-правовой компании) должности, назначение на которую и освобождение от которой осуществляются Президентом Российской Федерации или Правительством Российской Федерации, или другой должности, включенной в </w:t>
      </w:r>
      <w:r>
        <w:rPr>
          <w:sz w:val="24"/>
        </w:rPr>
        <w:t>перечень</w:t>
      </w:r>
      <w:r>
        <w:rPr>
          <w:sz w:val="24"/>
        </w:rPr>
        <w:t xml:space="preserve">, установленный локальным нормативным актом государственной корпорации (государственной компании, публично-правовой компании), обязан представлять в порядке, определяемом в соответствии с </w:t>
      </w:r>
      <w:r>
        <w:rPr>
          <w:sz w:val="24"/>
        </w:rPr>
        <w:t>Указом</w:t>
      </w:r>
      <w:r>
        <w:rPr>
          <w:sz w:val="24"/>
        </w:rP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и иными нормативными правовыми актами Российской Федерации, сведения о доходах, об имуществе и обязательствах имущественного характера, предусмотренные Федеральным </w:t>
      </w:r>
      <w:r>
        <w:rPr>
          <w:sz w:val="24"/>
        </w:rPr>
        <w:t>законом</w:t>
      </w:r>
      <w:r>
        <w:rPr>
          <w:sz w:val="24"/>
        </w:rPr>
        <w:t xml:space="preserve"> "О противодействии коррупции", в случаях, установленных указанным Федеральным </w:t>
      </w:r>
      <w:r>
        <w:rPr>
          <w:sz w:val="24"/>
        </w:rPr>
        <w:t>законом</w:t>
      </w:r>
      <w:r>
        <w:rPr>
          <w:sz w:val="24"/>
        </w:rPr>
        <w:t>.</w:t>
      </w:r>
    </w:p>
    <w:p w14:paraId="2D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16.07.2020 </w:t>
      </w:r>
      <w:r>
        <w:rPr>
          <w:sz w:val="24"/>
        </w:rPr>
        <w:t>N 1059</w:t>
      </w:r>
      <w:r>
        <w:rPr>
          <w:sz w:val="24"/>
        </w:rPr>
        <w:t xml:space="preserve">, от 16.03.2026 </w:t>
      </w:r>
      <w:r>
        <w:rPr>
          <w:sz w:val="24"/>
        </w:rPr>
        <w:t>N 272</w:t>
      </w:r>
      <w:r>
        <w:rPr>
          <w:sz w:val="24"/>
        </w:rPr>
        <w:t>)</w:t>
      </w:r>
    </w:p>
    <w:p w14:paraId="2E000000">
      <w:pPr>
        <w:pStyle w:val="Style_2"/>
        <w:widowControl w:val="1"/>
        <w:ind/>
        <w:jc w:val="both"/>
      </w:pPr>
      <w:r>
        <w:rPr>
          <w:sz w:val="24"/>
        </w:rPr>
        <w:t xml:space="preserve">(п. 1(1) введен </w:t>
      </w:r>
      <w:r>
        <w:rPr>
          <w:sz w:val="24"/>
        </w:rPr>
        <w:t>Постановлением</w:t>
      </w:r>
      <w:r>
        <w:rPr>
          <w:sz w:val="24"/>
        </w:rPr>
        <w:t xml:space="preserve"> Правительства РФ от 27.06.2013 N 541)</w:t>
      </w:r>
    </w:p>
    <w:p w14:paraId="2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2. Установить, что:</w:t>
      </w:r>
    </w:p>
    <w:p w14:paraId="30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27.06.2013 N 541)</w:t>
      </w:r>
    </w:p>
    <w:p w14:paraId="3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а) запреты, предусмотренные </w:t>
      </w:r>
      <w:r>
        <w:rPr>
          <w:sz w:val="24"/>
        </w:rPr>
        <w:t>пунктами 5</w:t>
      </w:r>
      <w:r>
        <w:rPr>
          <w:sz w:val="24"/>
        </w:rPr>
        <w:t xml:space="preserve"> и </w:t>
      </w:r>
      <w:r>
        <w:rPr>
          <w:sz w:val="24"/>
        </w:rPr>
        <w:t>6 части четвертой статьи 349.1</w:t>
      </w:r>
      <w:r>
        <w:rPr>
          <w:sz w:val="24"/>
        </w:rPr>
        <w:t xml:space="preserve"> Трудового кодекса Российской Федерации, распространяются на всех работников государственной корпорации (государственной компании, публично-правовой компании);</w:t>
      </w:r>
    </w:p>
    <w:p w14:paraId="32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27.06.2013 </w:t>
      </w:r>
      <w:r>
        <w:rPr>
          <w:sz w:val="24"/>
        </w:rPr>
        <w:t>N 541</w:t>
      </w:r>
      <w:r>
        <w:rPr>
          <w:sz w:val="24"/>
        </w:rPr>
        <w:t xml:space="preserve">, от 16.07.2020 </w:t>
      </w:r>
      <w:r>
        <w:rPr>
          <w:sz w:val="24"/>
        </w:rPr>
        <w:t>N 1059</w:t>
      </w:r>
      <w:r>
        <w:rPr>
          <w:sz w:val="24"/>
        </w:rPr>
        <w:t>)</w:t>
      </w:r>
    </w:p>
    <w:p w14:paraId="33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б) запреты, предусмотренные </w:t>
      </w:r>
      <w:r>
        <w:rPr>
          <w:sz w:val="24"/>
        </w:rPr>
        <w:t>пунктами 1</w:t>
      </w:r>
      <w:r>
        <w:rPr>
          <w:sz w:val="24"/>
        </w:rPr>
        <w:t xml:space="preserve"> - </w:t>
      </w:r>
      <w:r>
        <w:rPr>
          <w:sz w:val="24"/>
        </w:rPr>
        <w:t>4</w:t>
      </w:r>
      <w:r>
        <w:rPr>
          <w:sz w:val="24"/>
        </w:rPr>
        <w:t xml:space="preserve"> и </w:t>
      </w:r>
      <w:r>
        <w:rPr>
          <w:sz w:val="24"/>
        </w:rPr>
        <w:t>7</w:t>
      </w:r>
      <w:r>
        <w:rPr>
          <w:sz w:val="24"/>
        </w:rPr>
        <w:t xml:space="preserve"> - </w:t>
      </w:r>
      <w:r>
        <w:rPr>
          <w:sz w:val="24"/>
        </w:rPr>
        <w:t>11 части четвертой статьи 349.1</w:t>
      </w:r>
      <w:r>
        <w:rPr>
          <w:sz w:val="24"/>
        </w:rPr>
        <w:t xml:space="preserve"> Трудового кодекса Российской Федерации, распространяются на работников государственной корпорации (государственной компании, публично-правовой компании), замещающих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или другие должности, включенные в перечень, установленный локальным нормативным актом государственной корпорации (государственной компании, публично-правовой компании), и действуют во всех случаях, за исключением запрета, предусмотренного </w:t>
      </w:r>
      <w:r>
        <w:rPr>
          <w:sz w:val="24"/>
        </w:rPr>
        <w:t>пунктом 1 части четвертой статьи 349.1</w:t>
      </w:r>
      <w:r>
        <w:rPr>
          <w:sz w:val="24"/>
        </w:rPr>
        <w:t xml:space="preserve"> Трудового кодекса Российской Федерации, который не распространяется на случаи участия работников государственной корпорации "Агентство по страхованию вкладов" (далее - Агентство) в органах управления и контроля коммерческих организаций, если такое участие обусловлено:</w:t>
      </w:r>
    </w:p>
    <w:p w14:paraId="34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16.07.2020 N 1059)</w:t>
      </w:r>
    </w:p>
    <w:p w14:paraId="35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исполнением работником Агентства обязанности представителя Агентства при осуществлении функций и полномочий временной администрации, конкурсного управляющего или ликвидатора финансовой организации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несостоятельности (банкротстве)",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негосударственных пенсионных фондах" и Федеральным </w:t>
      </w:r>
      <w:r>
        <w:rPr>
          <w:sz w:val="24"/>
        </w:rPr>
        <w:t>законом</w:t>
      </w:r>
      <w:r>
        <w:rPr>
          <w:sz w:val="24"/>
        </w:rPr>
        <w:t xml:space="preserve"> "О банках и банковской деятельности";</w:t>
      </w:r>
    </w:p>
    <w:p w14:paraId="36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включением работника Агентства в состав временной администрации по управлению финансовой организацией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несостоятельности (банкротстве)";</w:t>
      </w:r>
    </w:p>
    <w:p w14:paraId="37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избранием работника Агентства членом комитета кредиторов финансовой организации и (или) должника этой организации, в отношении которой государственная корпорация осуществляет полномочия конкурсного управляющего или ликвидатора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несостоятельности (банкротстве)",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негосударственных пенсионных фондах" и Федеральным </w:t>
      </w:r>
      <w:r>
        <w:rPr>
          <w:sz w:val="24"/>
        </w:rPr>
        <w:t>законом</w:t>
      </w:r>
      <w:r>
        <w:rPr>
          <w:sz w:val="24"/>
        </w:rPr>
        <w:t xml:space="preserve"> "О банках и банковской деятельности";</w:t>
      </w:r>
    </w:p>
    <w:p w14:paraId="38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избранием работника Агентства в состав органов управления и контроля банка или иных коммерческих организаций, акции (доли) которых приобретены Агентством при осуществлении мер по предупреждению банкротства банков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несостоятельности (банкротстве)";</w:t>
      </w:r>
    </w:p>
    <w:p w14:paraId="39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избранием работника Агентства в состав органов управления и контроля банков, акции (доли) которых приобретены Агентством для обеспечения финансовой устойчивости системы страхования вкладов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страховании вкладов в банках Российской Федерации", а также при осуществлении мер по повышению капитализации банков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внесении изменений в статью 11 Федерального закона "О страховании вкладов физических лиц в банках Российской Федерации" и статью 46 Федерального закона "О Центральном банке Российской Федерации (Банке России)";</w:t>
      </w:r>
    </w:p>
    <w:p w14:paraId="3A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30.12.2018 N 1758)</w:t>
      </w:r>
    </w:p>
    <w:p w14:paraId="3B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избранием работника Агентства членом комитета кредиторов коммерческой организации, права требования к которой приобретены Агентством при осуществлении мер по предупреждению банкротства банков в соответствии с Федеральным </w:t>
      </w:r>
      <w:r>
        <w:rPr>
          <w:sz w:val="24"/>
        </w:rPr>
        <w:t>законом</w:t>
      </w:r>
      <w:r>
        <w:rPr>
          <w:sz w:val="24"/>
        </w:rPr>
        <w:t xml:space="preserve"> "О несостоятельности (банкротстве)".</w:t>
      </w:r>
    </w:p>
    <w:p w14:paraId="3C000000">
      <w:pPr>
        <w:pStyle w:val="Style_2"/>
        <w:widowControl w:val="1"/>
        <w:ind/>
        <w:jc w:val="both"/>
      </w:pPr>
      <w:r>
        <w:rPr>
          <w:sz w:val="24"/>
        </w:rPr>
        <w:t xml:space="preserve">(пп. "б" 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13.05.2015 N 462)</w:t>
      </w:r>
    </w:p>
    <w:p w14:paraId="3D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3. Установить, что работник государственной корпорации (государственной компании, публично-правовой компании), замещающий должность, назначение на которую и освобождение от которой осуществляются Президентом Российской Федерации или Правительством Российской Федерации, или другую должность, включенную в перечень, установленный локальным нормативным актом государственной корпорации (государственной компании, публично-правовой компании):</w:t>
      </w:r>
    </w:p>
    <w:p w14:paraId="3E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27.06.2013 </w:t>
      </w:r>
      <w:r>
        <w:rPr>
          <w:sz w:val="24"/>
        </w:rPr>
        <w:t>N 541</w:t>
      </w:r>
      <w:r>
        <w:rPr>
          <w:sz w:val="24"/>
        </w:rPr>
        <w:t xml:space="preserve">, от 16.07.2020 </w:t>
      </w:r>
      <w:r>
        <w:rPr>
          <w:sz w:val="24"/>
        </w:rPr>
        <w:t>N 1059</w:t>
      </w:r>
      <w:r>
        <w:rPr>
          <w:sz w:val="24"/>
        </w:rPr>
        <w:t>)</w:t>
      </w:r>
    </w:p>
    <w:p w14:paraId="3F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>обязан уведомить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известно, и принять меры по предотвращению конфликта интересов;</w:t>
      </w:r>
    </w:p>
    <w:p w14:paraId="40000000">
      <w:pPr>
        <w:pStyle w:val="Style_2"/>
        <w:widowControl w:val="1"/>
        <w:ind/>
        <w:jc w:val="both"/>
      </w:pPr>
      <w:r>
        <w:rPr>
          <w:sz w:val="24"/>
        </w:rPr>
        <w:t xml:space="preserve">(в ред. Постановлений Правительства РФ от 27.06.2013 </w:t>
      </w:r>
      <w:r>
        <w:rPr>
          <w:sz w:val="24"/>
        </w:rPr>
        <w:t>N 541</w:t>
      </w:r>
      <w:r>
        <w:rPr>
          <w:sz w:val="24"/>
        </w:rPr>
        <w:t xml:space="preserve">, от 28.06.2016 </w:t>
      </w:r>
      <w:r>
        <w:rPr>
          <w:sz w:val="24"/>
        </w:rPr>
        <w:t>N 594</w:t>
      </w:r>
      <w:r>
        <w:rPr>
          <w:sz w:val="24"/>
        </w:rPr>
        <w:t>)</w:t>
      </w:r>
    </w:p>
    <w:p w14:paraId="41000000">
      <w:pPr>
        <w:pStyle w:val="Style_2"/>
        <w:widowControl w:val="1"/>
        <w:spacing w:before="240"/>
        <w:ind w:firstLine="540"/>
        <w:jc w:val="both"/>
      </w:pPr>
      <w:r>
        <w:rPr>
          <w:sz w:val="24"/>
        </w:rPr>
        <w:t xml:space="preserve">в случае, если он владеет ценными бумагами, акциями (долями участия, паями в уставных (складочных) капиталах организаций) и это приводит или может привести к конфликту интересов, обязан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</w:t>
      </w:r>
      <w:r>
        <w:rPr>
          <w:sz w:val="24"/>
        </w:rPr>
        <w:t>законодательством</w:t>
      </w:r>
      <w:r>
        <w:rPr>
          <w:sz w:val="24"/>
        </w:rPr>
        <w:t xml:space="preserve"> Российской Федерации.</w:t>
      </w:r>
    </w:p>
    <w:p w14:paraId="42000000">
      <w:pPr>
        <w:pStyle w:val="Style_2"/>
        <w:widowControl w:val="1"/>
        <w:ind/>
        <w:jc w:val="both"/>
      </w:pPr>
      <w:r>
        <w:rPr>
          <w:sz w:val="24"/>
        </w:rPr>
        <w:t xml:space="preserve">(в ред. </w:t>
      </w:r>
      <w:r>
        <w:rPr>
          <w:sz w:val="24"/>
        </w:rPr>
        <w:t>Постановления</w:t>
      </w:r>
      <w:r>
        <w:rPr>
          <w:sz w:val="24"/>
        </w:rPr>
        <w:t xml:space="preserve"> Правительства РФ от 27.06.2013 N 541)</w:t>
      </w:r>
    </w:p>
    <w:p w14:paraId="43000000">
      <w:pPr>
        <w:pStyle w:val="Style_2"/>
        <w:widowControl w:val="1"/>
        <w:ind w:firstLine="540"/>
        <w:jc w:val="both"/>
      </w:pPr>
    </w:p>
    <w:p w14:paraId="44000000">
      <w:pPr>
        <w:pStyle w:val="Style_2"/>
        <w:widowControl w:val="1"/>
        <w:ind/>
        <w:jc w:val="right"/>
      </w:pPr>
      <w:r>
        <w:rPr>
          <w:sz w:val="24"/>
        </w:rPr>
        <w:t>Председатель Правительства</w:t>
      </w:r>
    </w:p>
    <w:p w14:paraId="45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46000000">
      <w:pPr>
        <w:pStyle w:val="Style_2"/>
        <w:widowControl w:val="1"/>
        <w:ind/>
        <w:jc w:val="right"/>
      </w:pPr>
      <w:r>
        <w:rPr>
          <w:sz w:val="24"/>
        </w:rPr>
        <w:t>Д.МЕДВЕДЕВ</w:t>
      </w:r>
    </w:p>
    <w:p w14:paraId="47000000">
      <w:pPr>
        <w:pStyle w:val="Style_2"/>
        <w:widowControl w:val="1"/>
        <w:ind/>
        <w:jc w:val="both"/>
      </w:pPr>
    </w:p>
    <w:p w14:paraId="48000000">
      <w:pPr>
        <w:pStyle w:val="Style_2"/>
        <w:widowControl w:val="1"/>
        <w:ind/>
        <w:jc w:val="both"/>
      </w:pPr>
    </w:p>
    <w:p w14:paraId="49000000">
      <w:pPr>
        <w:pStyle w:val="Style_2"/>
        <w:widowControl w:val="1"/>
        <w:ind/>
        <w:jc w:val="both"/>
      </w:pPr>
    </w:p>
    <w:p w14:paraId="4A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Утверждено</w:t>
      </w:r>
    </w:p>
    <w:p w14:paraId="4B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4C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4D000000">
      <w:pPr>
        <w:pStyle w:val="Style_2"/>
        <w:widowControl w:val="1"/>
        <w:ind/>
        <w:jc w:val="right"/>
      </w:pPr>
      <w:r>
        <w:rPr>
          <w:sz w:val="24"/>
        </w:rPr>
        <w:t>от 21 августа 2012 г. N 841</w:t>
      </w:r>
    </w:p>
    <w:p w14:paraId="4E000000">
      <w:pPr>
        <w:pStyle w:val="Style_2"/>
        <w:widowControl w:val="1"/>
        <w:ind w:firstLine="540"/>
        <w:jc w:val="both"/>
      </w:pPr>
    </w:p>
    <w:p w14:paraId="4F000000">
      <w:pPr>
        <w:pStyle w:val="Style_3"/>
        <w:widowControl w:val="1"/>
        <w:ind/>
        <w:jc w:val="center"/>
      </w:pPr>
      <w:r>
        <w:rPr>
          <w:sz w:val="24"/>
        </w:rPr>
        <w:t>ПОЛОЖЕНИЕ</w:t>
      </w:r>
    </w:p>
    <w:p w14:paraId="50000000">
      <w:pPr>
        <w:pStyle w:val="Style_3"/>
        <w:widowControl w:val="1"/>
        <w:ind/>
        <w:jc w:val="center"/>
      </w:pPr>
      <w:r>
        <w:rPr>
          <w:sz w:val="24"/>
        </w:rPr>
        <w:t>О ПРЕДСТАВЛЕНИИ РАБОТНИКОМ ГОСУДАРСТВЕННОЙ</w:t>
      </w:r>
    </w:p>
    <w:p w14:paraId="51000000">
      <w:pPr>
        <w:pStyle w:val="Style_3"/>
        <w:widowControl w:val="1"/>
        <w:ind/>
        <w:jc w:val="center"/>
      </w:pPr>
      <w:r>
        <w:rPr>
          <w:sz w:val="24"/>
        </w:rPr>
        <w:t>КОРПОРАЦИИ (ГОСУДАРСТВЕННОЙ КОМПАНИИ) СВЕДЕНИЙ О СВОИХ</w:t>
      </w:r>
    </w:p>
    <w:p w14:paraId="52000000">
      <w:pPr>
        <w:pStyle w:val="Style_3"/>
        <w:widowControl w:val="1"/>
        <w:ind/>
        <w:jc w:val="center"/>
      </w:pPr>
      <w:r>
        <w:rPr>
          <w:sz w:val="24"/>
        </w:rPr>
        <w:t>ДОХОДАХ, ОБ ИМУЩЕСТВЕ И ОБЯЗАТЕЛЬСТВАХ ИМУЩЕСТВЕННОГО</w:t>
      </w:r>
    </w:p>
    <w:p w14:paraId="53000000">
      <w:pPr>
        <w:pStyle w:val="Style_3"/>
        <w:widowControl w:val="1"/>
        <w:ind/>
        <w:jc w:val="center"/>
      </w:pPr>
      <w:r>
        <w:rPr>
          <w:sz w:val="24"/>
        </w:rPr>
        <w:t>ХАРАКТЕРА И О ДОХОДАХ, ОБ ИМУЩЕСТВЕ И ОБЯЗАТЕЛЬСТВАХ</w:t>
      </w:r>
    </w:p>
    <w:p w14:paraId="54000000">
      <w:pPr>
        <w:pStyle w:val="Style_3"/>
        <w:widowControl w:val="1"/>
        <w:ind/>
        <w:jc w:val="center"/>
      </w:pPr>
      <w:r>
        <w:rPr>
          <w:sz w:val="24"/>
        </w:rPr>
        <w:t>ИМУЩЕСТВЕННОГО ХАРАКТЕРА СУПРУГИ (СУПРУГА)</w:t>
      </w:r>
    </w:p>
    <w:p w14:paraId="55000000">
      <w:pPr>
        <w:pStyle w:val="Style_3"/>
        <w:widowControl w:val="1"/>
        <w:ind/>
        <w:jc w:val="center"/>
      </w:pPr>
      <w:r>
        <w:rPr>
          <w:sz w:val="24"/>
        </w:rPr>
        <w:t>И НЕСОВЕРШЕННОЛЕТНИХ ДЕТЕЙ</w:t>
      </w:r>
    </w:p>
    <w:p w14:paraId="56000000">
      <w:pPr>
        <w:pStyle w:val="Style_2"/>
        <w:widowControl w:val="1"/>
        <w:ind w:firstLine="540"/>
        <w:jc w:val="both"/>
      </w:pPr>
    </w:p>
    <w:p w14:paraId="57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Утратило силу. -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РФ от 27.06.2013 N 541.</w:t>
      </w:r>
    </w:p>
    <w:p w14:paraId="58000000">
      <w:pPr>
        <w:pStyle w:val="Style_2"/>
        <w:widowControl w:val="1"/>
        <w:ind w:firstLine="540"/>
        <w:jc w:val="both"/>
      </w:pPr>
    </w:p>
    <w:p w14:paraId="59000000">
      <w:pPr>
        <w:pStyle w:val="Style_2"/>
        <w:widowControl w:val="1"/>
        <w:ind w:firstLine="540"/>
        <w:jc w:val="both"/>
      </w:pPr>
    </w:p>
    <w:p w14:paraId="5A000000">
      <w:pPr>
        <w:pStyle w:val="Style_2"/>
        <w:widowControl w:val="1"/>
        <w:ind w:firstLine="540"/>
        <w:jc w:val="both"/>
      </w:pPr>
    </w:p>
    <w:p w14:paraId="5B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Утверждена</w:t>
      </w:r>
    </w:p>
    <w:p w14:paraId="5C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5D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5E000000">
      <w:pPr>
        <w:pStyle w:val="Style_2"/>
        <w:widowControl w:val="1"/>
        <w:ind/>
        <w:jc w:val="right"/>
      </w:pPr>
      <w:r>
        <w:rPr>
          <w:sz w:val="24"/>
        </w:rPr>
        <w:t>от 21 августа 2012 г. N 841</w:t>
      </w:r>
    </w:p>
    <w:p w14:paraId="5F000000">
      <w:pPr>
        <w:pStyle w:val="Style_2"/>
        <w:widowControl w:val="1"/>
        <w:ind/>
        <w:jc w:val="right"/>
      </w:pPr>
    </w:p>
    <w:p w14:paraId="60000000">
      <w:pPr>
        <w:pStyle w:val="Style_2"/>
        <w:widowControl w:val="1"/>
        <w:ind/>
        <w:jc w:val="center"/>
      </w:pPr>
      <w:r>
        <w:rPr>
          <w:sz w:val="24"/>
        </w:rPr>
        <w:t>СПРАВКА</w:t>
      </w:r>
    </w:p>
    <w:p w14:paraId="61000000">
      <w:pPr>
        <w:pStyle w:val="Style_2"/>
        <w:widowControl w:val="1"/>
        <w:ind/>
        <w:jc w:val="center"/>
      </w:pPr>
      <w:r>
        <w:rPr>
          <w:sz w:val="24"/>
        </w:rPr>
        <w:t>О ДОХОДАХ, ОБ ИМУЩЕСТВЕ И ОБЯЗАТЕЛЬСТВАХ ИМУЩЕСТВЕННОГО</w:t>
      </w:r>
    </w:p>
    <w:p w14:paraId="62000000">
      <w:pPr>
        <w:pStyle w:val="Style_2"/>
        <w:widowControl w:val="1"/>
        <w:ind/>
        <w:jc w:val="center"/>
      </w:pPr>
      <w:r>
        <w:rPr>
          <w:sz w:val="24"/>
        </w:rPr>
        <w:t>ХАРАКТЕРА РАБОТНИКА ГОСУДАРСТВЕННОЙ КОРПОРАЦИИ</w:t>
      </w:r>
    </w:p>
    <w:p w14:paraId="63000000">
      <w:pPr>
        <w:pStyle w:val="Style_2"/>
        <w:widowControl w:val="1"/>
        <w:ind/>
        <w:jc w:val="center"/>
      </w:pPr>
      <w:r>
        <w:rPr>
          <w:sz w:val="24"/>
        </w:rPr>
        <w:t>(ГОСУДАРСТВЕННОЙ КОМПАНИИ)</w:t>
      </w:r>
    </w:p>
    <w:p w14:paraId="64000000">
      <w:pPr>
        <w:pStyle w:val="Style_2"/>
        <w:widowControl w:val="1"/>
        <w:ind/>
        <w:jc w:val="right"/>
      </w:pPr>
    </w:p>
    <w:p w14:paraId="65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Утратила силу. -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РФ от 27.06.2013 N 541.</w:t>
      </w:r>
    </w:p>
    <w:p w14:paraId="66000000">
      <w:pPr>
        <w:pStyle w:val="Style_2"/>
        <w:widowControl w:val="1"/>
        <w:ind w:firstLine="540"/>
        <w:jc w:val="both"/>
      </w:pPr>
    </w:p>
    <w:p w14:paraId="67000000">
      <w:pPr>
        <w:pStyle w:val="Style_2"/>
        <w:widowControl w:val="1"/>
        <w:ind w:firstLine="540"/>
        <w:jc w:val="both"/>
      </w:pPr>
    </w:p>
    <w:p w14:paraId="68000000">
      <w:pPr>
        <w:pStyle w:val="Style_2"/>
        <w:widowControl w:val="1"/>
        <w:ind w:firstLine="540"/>
        <w:jc w:val="both"/>
      </w:pPr>
    </w:p>
    <w:p w14:paraId="69000000">
      <w:pPr>
        <w:pStyle w:val="Style_2"/>
        <w:widowControl w:val="1"/>
        <w:ind/>
        <w:jc w:val="right"/>
        <w:outlineLvl w:val="0"/>
      </w:pPr>
      <w:r>
        <w:rPr>
          <w:sz w:val="24"/>
        </w:rPr>
        <w:t>Утверждена</w:t>
      </w:r>
    </w:p>
    <w:p w14:paraId="6A000000">
      <w:pPr>
        <w:pStyle w:val="Style_2"/>
        <w:widowControl w:val="1"/>
        <w:ind/>
        <w:jc w:val="right"/>
      </w:pPr>
      <w:r>
        <w:rPr>
          <w:sz w:val="24"/>
        </w:rPr>
        <w:t>постановлением Правительства</w:t>
      </w:r>
    </w:p>
    <w:p w14:paraId="6B000000">
      <w:pPr>
        <w:pStyle w:val="Style_2"/>
        <w:widowControl w:val="1"/>
        <w:ind/>
        <w:jc w:val="right"/>
      </w:pPr>
      <w:r>
        <w:rPr>
          <w:sz w:val="24"/>
        </w:rPr>
        <w:t>Российской Федерации</w:t>
      </w:r>
    </w:p>
    <w:p w14:paraId="6C000000">
      <w:pPr>
        <w:pStyle w:val="Style_2"/>
        <w:widowControl w:val="1"/>
        <w:ind/>
        <w:jc w:val="right"/>
      </w:pPr>
      <w:r>
        <w:rPr>
          <w:sz w:val="24"/>
        </w:rPr>
        <w:t>от 21 августа 2012 г. N 841</w:t>
      </w:r>
    </w:p>
    <w:p w14:paraId="6D000000">
      <w:pPr>
        <w:pStyle w:val="Style_2"/>
        <w:widowControl w:val="1"/>
        <w:ind/>
        <w:jc w:val="center"/>
      </w:pPr>
    </w:p>
    <w:p w14:paraId="6E000000">
      <w:pPr>
        <w:pStyle w:val="Style_2"/>
        <w:widowControl w:val="1"/>
        <w:ind/>
        <w:jc w:val="center"/>
      </w:pPr>
      <w:r>
        <w:rPr>
          <w:sz w:val="24"/>
        </w:rPr>
        <w:t>СПРАВКА</w:t>
      </w:r>
    </w:p>
    <w:p w14:paraId="6F000000">
      <w:pPr>
        <w:pStyle w:val="Style_2"/>
        <w:widowControl w:val="1"/>
        <w:ind/>
        <w:jc w:val="center"/>
      </w:pPr>
      <w:r>
        <w:rPr>
          <w:sz w:val="24"/>
        </w:rPr>
        <w:t>О ДОХОДАХ, ОБ ИМУЩЕСТВЕ И ОБЯЗАТЕЛЬСТВАХ ИМУЩЕСТВЕННОГО</w:t>
      </w:r>
    </w:p>
    <w:p w14:paraId="70000000">
      <w:pPr>
        <w:pStyle w:val="Style_2"/>
        <w:widowControl w:val="1"/>
        <w:ind/>
        <w:jc w:val="center"/>
      </w:pPr>
      <w:r>
        <w:rPr>
          <w:sz w:val="24"/>
        </w:rPr>
        <w:t>ХАРАКТЕРА СУПРУГИ (СУПРУГА) И НЕСОВЕРШЕННОЛЕТНИХ ДЕТЕЙ</w:t>
      </w:r>
    </w:p>
    <w:p w14:paraId="71000000">
      <w:pPr>
        <w:pStyle w:val="Style_2"/>
        <w:widowControl w:val="1"/>
        <w:ind/>
        <w:jc w:val="center"/>
      </w:pPr>
      <w:r>
        <w:rPr>
          <w:sz w:val="24"/>
        </w:rPr>
        <w:t>РАБОТНИКА ГОСУДАРСТВЕННОЙ КОРПОРАЦИИ</w:t>
      </w:r>
    </w:p>
    <w:p w14:paraId="72000000">
      <w:pPr>
        <w:pStyle w:val="Style_2"/>
        <w:widowControl w:val="1"/>
        <w:ind/>
        <w:jc w:val="center"/>
      </w:pPr>
      <w:r>
        <w:rPr>
          <w:sz w:val="24"/>
        </w:rPr>
        <w:t>(ГОСУДАРСТВЕННОЙ КОМПАНИИ)</w:t>
      </w:r>
    </w:p>
    <w:p w14:paraId="73000000">
      <w:pPr>
        <w:pStyle w:val="Style_2"/>
        <w:widowControl w:val="1"/>
        <w:ind/>
        <w:jc w:val="right"/>
      </w:pPr>
    </w:p>
    <w:p w14:paraId="74000000">
      <w:pPr>
        <w:pStyle w:val="Style_2"/>
        <w:widowControl w:val="1"/>
        <w:ind w:firstLine="540"/>
        <w:jc w:val="both"/>
      </w:pPr>
      <w:r>
        <w:rPr>
          <w:sz w:val="24"/>
        </w:rPr>
        <w:t xml:space="preserve">Утратила силу. - </w:t>
      </w:r>
      <w:r>
        <w:rPr>
          <w:sz w:val="24"/>
        </w:rPr>
        <w:t>Постановление</w:t>
      </w:r>
      <w:r>
        <w:rPr>
          <w:sz w:val="24"/>
        </w:rPr>
        <w:t xml:space="preserve"> Правительства РФ от 27.06.2013 N 541.</w:t>
      </w:r>
    </w:p>
    <w:p w14:paraId="75000000">
      <w:pPr>
        <w:pStyle w:val="Style_2"/>
        <w:widowControl w:val="1"/>
        <w:ind w:firstLine="540"/>
        <w:jc w:val="both"/>
      </w:pPr>
    </w:p>
    <w:p w14:paraId="76000000">
      <w:pPr>
        <w:pStyle w:val="Style_2"/>
        <w:widowControl w:val="1"/>
        <w:ind w:firstLine="540"/>
        <w:jc w:val="both"/>
      </w:pPr>
    </w:p>
    <w:p w14:paraId="77000000">
      <w:pPr>
        <w:pStyle w:val="Style_2"/>
        <w:widowControl w:val="1"/>
        <w:pBdr>
          <w:bottom w:color="000000" w:space="0" w:sz="6" w:val="single"/>
        </w:pBdr>
        <w:spacing w:after="100" w:before="100"/>
        <w:ind/>
        <w:jc w:val="both"/>
        <w:rPr>
          <w:sz w:val="2"/>
        </w:rPr>
      </w:pPr>
    </w:p>
    <w:sectPr>
      <w:headerReference r:id="rId1" w:type="default"/>
      <w:headerReference r:id="rId3" w:type="first"/>
      <w:footerReference r:id="rId2" w:type="default"/>
      <w:footerReference r:id="rId4" w:type="first"/>
      <w:pgSz w:h="16838" w:orient="portrait" w:w="11906"/>
      <w:pgMar w:bottom="1440" w:footer="0" w:gutter="0" w:header="0" w:left="1133" w:right="566" w:top="144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6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07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8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14:paraId="09000000">
    <w:r>
      <w:rPr>
        <w:sz w:val="2"/>
      </w:rPr>
      <w:t>1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E000000">
    <w:pPr>
      <w:widowControl w:val="1"/>
      <w:pBdr>
        <w:bottom w:color="000000" w:space="0" w:sz="12" w:val="single"/>
      </w:pBdr>
      <w:ind/>
      <w:rPr>
        <w:sz w:val="2"/>
      </w:rPr>
    </w:pPr>
  </w:p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3368"/>
      <w:gridCol w:w="3470"/>
      <w:gridCol w:w="3368"/>
    </w:tblGrid>
    <w:tr>
      <w:trPr>
        <w:trHeight w:hRule="exact" w:val="1663"/>
      </w:trPr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0F000000">
          <w:r>
            <w:rPr>
              <w:rFonts w:ascii="Tahoma" w:hAnsi="Tahoma"/>
              <w:b w:val="1"/>
              <w:color w:val="F58220"/>
              <w:sz w:val="28"/>
            </w:rPr>
            <w:t>КонсультантПлюс</w:t>
          </w:r>
          <w:r>
            <w:rPr>
              <w:rFonts w:ascii="Tahoma" w:hAnsi="Tahoma"/>
              <w:b w:val="1"/>
              <w:sz w:val="16"/>
            </w:rPr>
            <w:br/>
          </w:r>
          <w:r>
            <w:rPr>
              <w:rFonts w:ascii="Tahoma" w:hAnsi="Tahoma"/>
              <w:b w:val="1"/>
              <w:sz w:val="16"/>
            </w:rPr>
            <w:t>надежная правовая поддержка</w:t>
          </w:r>
        </w:p>
      </w:tc>
      <w:tc>
        <w:tcPr>
          <w:tcW w:type="dxa" w:w="3470"/>
          <w:tcMar>
            <w:left w:type="dxa" w:w="40"/>
            <w:right w:type="dxa" w:w="40"/>
          </w:tcMar>
          <w:vAlign w:val="center"/>
        </w:tcPr>
        <w:p w14:paraId="10000000">
          <w:pPr>
            <w:widowControl w:val="1"/>
            <w:ind/>
            <w:jc w:val="center"/>
          </w:pPr>
          <w:r>
            <w:rPr>
              <w:rFonts w:ascii="Tahoma" w:hAnsi="Tahoma"/>
              <w:b w:val="1"/>
              <w:color w:val="0000FF"/>
            </w:rPr>
            <w:fldChar w:fldCharType="begin"/>
          </w:r>
          <w:r>
            <w:rPr>
              <w:rFonts w:ascii="Tahoma" w:hAnsi="Tahoma"/>
              <w:b w:val="1"/>
              <w:color w:val="0000FF"/>
            </w:rPr>
            <w:instrText>HYPERLINK "https://www.consultant.ru"</w:instrText>
          </w:r>
          <w:r>
            <w:rPr>
              <w:rFonts w:ascii="Tahoma" w:hAnsi="Tahoma"/>
              <w:b w:val="1"/>
              <w:color w:val="0000FF"/>
            </w:rPr>
            <w:fldChar w:fldCharType="separate"/>
          </w:r>
          <w:r>
            <w:rPr>
              <w:rFonts w:ascii="Tahoma" w:hAnsi="Tahoma"/>
              <w:b w:val="1"/>
              <w:color w:val="0000FF"/>
            </w:rPr>
            <w:t>www.consultant.ru</w:t>
          </w:r>
          <w:r>
            <w:rPr>
              <w:rFonts w:ascii="Tahoma" w:hAnsi="Tahoma"/>
              <w:b w:val="1"/>
              <w:color w:val="0000FF"/>
            </w:rPr>
            <w:fldChar w:fldCharType="end"/>
          </w:r>
        </w:p>
      </w:tc>
      <w:tc>
        <w:tcPr>
          <w:tcW w:type="dxa" w:w="3368"/>
          <w:tcMar>
            <w:left w:type="dxa" w:w="40"/>
            <w:right w:type="dxa" w:w="40"/>
          </w:tcMar>
          <w:vAlign w:val="center"/>
        </w:tcPr>
        <w:p w14:paraId="11000000">
          <w:r>
            <w:rPr>
              <w:rFonts w:ascii="Tahoma" w:hAnsi="Tahoma"/>
            </w:rPr>
            <w:t xml:space="preserve">Страница </w:t>
          </w:r>
          <w:r>
            <w:fldChar w:fldCharType="begin"/>
          </w:r>
          <w:r>
            <w:instrText xml:space="preserve">PAGE </w:instrText>
          </w:r>
          <w:r>
            <w:fldChar w:fldCharType="separate"/>
          </w:r>
          <w:r>
            <w:t xml:space="preserve"> </w:t>
          </w:r>
          <w:r>
            <w:fldChar w:fldCharType="end"/>
          </w:r>
          <w:r>
            <w:rPr>
              <w:rFonts w:ascii="Tahoma" w:hAnsi="Tahoma"/>
            </w:rPr>
            <w:t xml:space="preserve"> из </w:t>
          </w:r>
          <w:r>
            <w:fldChar w:fldCharType="begin"/>
          </w:r>
          <w:r>
            <w:instrText xml:space="preserve">NUMPAGES </w:instrText>
          </w:r>
          <w:r>
            <w:fldChar w:fldCharType="separate"/>
          </w:r>
          <w:r>
            <w:t>5</w:t>
          </w:r>
          <w:r>
            <w:fldChar w:fldCharType="end"/>
          </w:r>
        </w:p>
      </w:tc>
    </w:tr>
  </w:tbl>
  <w:p w14:paraId="12000000">
    <w:r>
      <w:rPr>
        <w:sz w:val="2"/>
      </w:rPr>
      <w:t>1</w:t>
    </w: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1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21.08.2012 N 841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соблюдении работниками государственных корпор...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2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3000000">
    <w:pPr>
      <w:widowControl w:val="1"/>
      <w:pBdr>
        <w:bottom w:color="000000" w:space="0" w:sz="12" w:val="single"/>
      </w:pBdr>
      <w:ind/>
      <w:rPr>
        <w:sz w:val="2"/>
      </w:rPr>
    </w:pPr>
  </w:p>
  <w:p w14:paraId="04000000"/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W w:type="auto" w:w="0"/>
      <w:tblInd w:type="dxa" w:w="0"/>
      <w:tblLayout w:type="fixed"/>
      <w:tblCellMar>
        <w:left w:type="dxa" w:w="40"/>
        <w:right w:type="dxa" w:w="40"/>
      </w:tblCellMar>
    </w:tblPr>
    <w:tblGrid>
      <w:gridCol w:w="5512"/>
      <w:gridCol w:w="4695"/>
    </w:tblGrid>
    <w:tr>
      <w:trPr>
        <w:trHeight w:hRule="exact" w:val="1683"/>
      </w:trPr>
      <w:tc>
        <w:tcPr>
          <w:tcW w:type="dxa" w:w="5512"/>
          <w:tcMar>
            <w:left w:type="dxa" w:w="40"/>
            <w:right w:type="dxa" w:w="40"/>
          </w:tcMar>
          <w:vAlign w:val="center"/>
        </w:tcPr>
        <w:p w14:paraId="0A000000">
          <w:pPr>
            <w:rPr>
              <w:rFonts w:ascii="Tahoma" w:hAnsi="Tahoma"/>
            </w:rPr>
          </w:pPr>
          <w:r>
            <w:rPr>
              <w:rFonts w:ascii="Tahoma" w:hAnsi="Tahoma"/>
              <w:sz w:val="16"/>
            </w:rPr>
            <w:t>Постановление Правительства РФ от 21.08.2012 N 841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(ред. от 16.03.2026)</w:t>
          </w:r>
          <w:r>
            <w:rPr>
              <w:rFonts w:ascii="Tahoma" w:hAnsi="Tahoma"/>
              <w:sz w:val="16"/>
            </w:rPr>
            <w:br/>
          </w:r>
          <w:r>
            <w:rPr>
              <w:rFonts w:ascii="Tahoma" w:hAnsi="Tahoma"/>
              <w:sz w:val="16"/>
            </w:rPr>
            <w:t>"О соблюдении работниками государственных корпор...</w:t>
          </w:r>
        </w:p>
      </w:tc>
      <w:tc>
        <w:tcPr>
          <w:tcW w:type="dxa" w:w="4695"/>
          <w:tcMar>
            <w:left w:type="dxa" w:w="40"/>
            <w:right w:type="dxa" w:w="40"/>
          </w:tcMar>
          <w:vAlign w:val="center"/>
        </w:tcPr>
        <w:p w14:paraId="0B000000">
          <w:pPr>
            <w:rPr>
              <w:rFonts w:ascii="Tahoma" w:hAnsi="Tahoma"/>
            </w:rPr>
          </w:pPr>
          <w:r>
            <w:rPr>
              <w:rFonts w:ascii="Tahoma" w:hAnsi="Tahoma"/>
              <w:sz w:val="18"/>
            </w:rPr>
            <w:t xml:space="preserve">Документ предоставлен </w:t>
          </w:r>
          <w:r>
            <w:rPr>
              <w:rFonts w:ascii="Tahoma" w:hAnsi="Tahoma"/>
              <w:color w:val="0000FF"/>
              <w:sz w:val="18"/>
            </w:rPr>
            <w:fldChar w:fldCharType="begin"/>
          </w:r>
          <w:r>
            <w:rPr>
              <w:rFonts w:ascii="Tahoma" w:hAnsi="Tahoma"/>
              <w:color w:val="0000FF"/>
              <w:sz w:val="18"/>
            </w:rPr>
            <w:instrText>HYPERLINK "https://www.consultant.ru" \o "КонсультантПлюс - надежная правовая система"</w:instrText>
          </w:r>
          <w:r>
            <w:rPr>
              <w:rFonts w:ascii="Tahoma" w:hAnsi="Tahoma"/>
              <w:color w:val="0000FF"/>
              <w:sz w:val="18"/>
            </w:rPr>
            <w:fldChar w:fldCharType="separate"/>
          </w:r>
          <w:r>
            <w:rPr>
              <w:rFonts w:ascii="Tahoma" w:hAnsi="Tahoma"/>
              <w:color w:val="0000FF"/>
              <w:sz w:val="18"/>
            </w:rPr>
            <w:t>КонсультантПлюс</w:t>
          </w:r>
          <w:r>
            <w:rPr>
              <w:rFonts w:ascii="Tahoma" w:hAnsi="Tahoma"/>
              <w:color w:val="0000FF"/>
              <w:sz w:val="18"/>
            </w:rPr>
            <w:fldChar w:fldCharType="end"/>
          </w:r>
          <w:r>
            <w:rPr>
              <w:rFonts w:ascii="Tahoma" w:hAnsi="Tahoma"/>
              <w:sz w:val="18"/>
            </w:rPr>
            <w:br/>
          </w:r>
          <w:r>
            <w:rPr>
              <w:rFonts w:ascii="Tahoma" w:hAnsi="Tahoma"/>
              <w:sz w:val="16"/>
            </w:rPr>
            <w:t>Дата сохранения: 21.08.2026</w:t>
          </w:r>
        </w:p>
      </w:tc>
    </w:tr>
  </w:tbl>
  <w:p w14:paraId="0C000000">
    <w:pPr>
      <w:widowControl w:val="1"/>
      <w:pBdr>
        <w:bottom w:color="000000" w:space="0" w:sz="12" w:val="single"/>
      </w:pBdr>
      <w:ind/>
      <w:rPr>
        <w:sz w:val="2"/>
      </w:rPr>
    </w:pPr>
  </w:p>
  <w:p w14:paraId="0D000000"/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ConsPlusNormal"/>
    <w:link w:val="Style_2_ch"/>
    <w:pPr>
      <w:widowControl w:val="0"/>
      <w:ind/>
    </w:pPr>
    <w:rPr>
      <w:rFonts w:ascii="Times New Roman" w:hAnsi="Times New Roman"/>
      <w:sz w:val="24"/>
    </w:rPr>
  </w:style>
  <w:style w:default="1" w:styleId="Style_2_ch" w:type="character">
    <w:name w:val="ConsPlusNormal"/>
    <w:link w:val="Style_2"/>
    <w:rPr>
      <w:rFonts w:ascii="Times New Roman" w:hAnsi="Times New Roman"/>
      <w:sz w:val="24"/>
    </w:rPr>
  </w:style>
  <w:style w:styleId="Style_4" w:type="paragraph">
    <w:name w:val="toc 2"/>
    <w:next w:val="Style_5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6" w:type="paragraph">
    <w:name w:val="toc 4"/>
    <w:next w:val="Style_5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5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5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ConsPlusJurTerm"/>
    <w:link w:val="Style_9_ch"/>
    <w:pPr>
      <w:widowControl w:val="0"/>
      <w:ind/>
    </w:pPr>
    <w:rPr>
      <w:rFonts w:ascii="Tahoma" w:hAnsi="Tahoma"/>
      <w:sz w:val="26"/>
    </w:rPr>
  </w:style>
  <w:style w:styleId="Style_9_ch" w:type="character">
    <w:name w:val="ConsPlusJurTerm"/>
    <w:link w:val="Style_9"/>
    <w:rPr>
      <w:rFonts w:ascii="Tahoma" w:hAnsi="Tahoma"/>
      <w:sz w:val="26"/>
    </w:rPr>
  </w:style>
  <w:style w:styleId="Style_10" w:type="paragraph">
    <w:name w:val="ConsPlusTitle"/>
    <w:link w:val="Style_10_ch"/>
    <w:pPr>
      <w:widowControl w:val="0"/>
      <w:ind/>
    </w:pPr>
    <w:rPr>
      <w:rFonts w:ascii="Arial" w:hAnsi="Arial"/>
      <w:b w:val="1"/>
      <w:sz w:val="24"/>
    </w:rPr>
  </w:style>
  <w:style w:styleId="Style_10_ch" w:type="character">
    <w:name w:val="ConsPlusTitle"/>
    <w:link w:val="Style_10"/>
    <w:rPr>
      <w:rFonts w:ascii="Arial" w:hAnsi="Arial"/>
      <w:b w:val="1"/>
      <w:sz w:val="24"/>
    </w:rPr>
  </w:style>
  <w:style w:styleId="Style_5" w:type="paragraph">
    <w:name w:val="Normal"/>
    <w:link w:val="Style_5_ch"/>
    <w:uiPriority w:val="0"/>
    <w:qFormat/>
  </w:style>
  <w:style w:styleId="Style_5_ch" w:type="character">
    <w:name w:val="Normal"/>
    <w:link w:val="Style_5"/>
  </w:style>
  <w:style w:styleId="Style_11" w:type="paragraph">
    <w:name w:val="ConsPlusCell"/>
    <w:link w:val="Style_11_ch"/>
    <w:pPr>
      <w:widowControl w:val="0"/>
      <w:ind/>
    </w:pPr>
    <w:rPr>
      <w:rFonts w:ascii="Courier New" w:hAnsi="Courier New"/>
      <w:sz w:val="20"/>
    </w:rPr>
  </w:style>
  <w:style w:styleId="Style_11_ch" w:type="character">
    <w:name w:val="ConsPlusCell"/>
    <w:link w:val="Style_11"/>
    <w:rPr>
      <w:rFonts w:ascii="Courier New" w:hAnsi="Courier New"/>
      <w:sz w:val="20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sPlusJurTerm"/>
    <w:link w:val="Style_14_ch"/>
    <w:pPr>
      <w:widowControl w:val="0"/>
      <w:ind/>
    </w:pPr>
    <w:rPr>
      <w:rFonts w:ascii="Tahoma" w:hAnsi="Tahoma"/>
      <w:sz w:val="26"/>
    </w:rPr>
  </w:style>
  <w:style w:styleId="Style_14_ch" w:type="character">
    <w:name w:val="ConsPlusJurTerm"/>
    <w:link w:val="Style_14"/>
    <w:rPr>
      <w:rFonts w:ascii="Tahoma" w:hAnsi="Tahoma"/>
      <w:sz w:val="26"/>
    </w:rPr>
  </w:style>
  <w:style w:styleId="Style_15" w:type="paragraph">
    <w:name w:val="ConsPlusCell"/>
    <w:link w:val="Style_15_ch"/>
    <w:pPr>
      <w:widowControl w:val="0"/>
      <w:ind/>
    </w:pPr>
    <w:rPr>
      <w:rFonts w:ascii="Courier New" w:hAnsi="Courier New"/>
      <w:sz w:val="20"/>
    </w:rPr>
  </w:style>
  <w:style w:styleId="Style_15_ch" w:type="character">
    <w:name w:val="ConsPlusCell"/>
    <w:link w:val="Style_15"/>
    <w:rPr>
      <w:rFonts w:ascii="Courier New" w:hAnsi="Courier New"/>
      <w:sz w:val="20"/>
    </w:rPr>
  </w:style>
  <w:style w:styleId="Style_16" w:type="paragraph">
    <w:name w:val="toc 3"/>
    <w:next w:val="Style_5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3" w:type="paragraph">
    <w:name w:val="ConsPlusTitle"/>
    <w:link w:val="Style_3_ch"/>
    <w:pPr>
      <w:widowControl w:val="0"/>
      <w:ind/>
    </w:pPr>
    <w:rPr>
      <w:rFonts w:ascii="Arial" w:hAnsi="Arial"/>
      <w:b w:val="1"/>
      <w:sz w:val="24"/>
    </w:rPr>
  </w:style>
  <w:style w:styleId="Style_3_ch" w:type="character">
    <w:name w:val="ConsPlusTitle"/>
    <w:link w:val="Style_3"/>
    <w:rPr>
      <w:rFonts w:ascii="Arial" w:hAnsi="Arial"/>
      <w:b w:val="1"/>
      <w:sz w:val="24"/>
    </w:rPr>
  </w:style>
  <w:style w:styleId="Style_17" w:type="paragraph">
    <w:name w:val="ConsPlusDocList"/>
    <w:link w:val="Style_17_ch"/>
    <w:pPr>
      <w:widowControl w:val="0"/>
      <w:ind/>
    </w:pPr>
    <w:rPr>
      <w:rFonts w:ascii="Tahoma" w:hAnsi="Tahoma"/>
      <w:sz w:val="18"/>
    </w:rPr>
  </w:style>
  <w:style w:styleId="Style_17_ch" w:type="character">
    <w:name w:val="ConsPlusDocList"/>
    <w:link w:val="Style_17"/>
    <w:rPr>
      <w:rFonts w:ascii="Tahoma" w:hAnsi="Tahoma"/>
      <w:sz w:val="18"/>
    </w:rPr>
  </w:style>
  <w:style w:styleId="Style_18" w:type="paragraph">
    <w:name w:val="ConsPlusJurTerm"/>
    <w:link w:val="Style_18_ch"/>
    <w:pPr>
      <w:widowControl w:val="0"/>
      <w:ind/>
    </w:pPr>
    <w:rPr>
      <w:rFonts w:ascii="Tahoma" w:hAnsi="Tahoma"/>
      <w:sz w:val="26"/>
    </w:rPr>
  </w:style>
  <w:style w:styleId="Style_18_ch" w:type="character">
    <w:name w:val="ConsPlusJurTerm"/>
    <w:link w:val="Style_18"/>
    <w:rPr>
      <w:rFonts w:ascii="Tahoma" w:hAnsi="Tahoma"/>
      <w:sz w:val="26"/>
    </w:rPr>
  </w:style>
  <w:style w:styleId="Style_19" w:type="paragraph">
    <w:name w:val="heading 5"/>
    <w:next w:val="Style_5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heading 1"/>
    <w:next w:val="Style_5"/>
    <w:link w:val="Style_2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0_ch" w:type="character">
    <w:name w:val="heading 1"/>
    <w:link w:val="Style_20"/>
    <w:rPr>
      <w:rFonts w:ascii="XO Thames" w:hAnsi="XO Thames"/>
      <w:b w:val="1"/>
      <w:sz w:val="32"/>
    </w:rPr>
  </w:style>
  <w:style w:styleId="Style_21" w:type="paragraph">
    <w:name w:val="Hyperlink"/>
    <w:link w:val="Style_21_ch"/>
    <w:rPr>
      <w:color w:val="0000FF"/>
      <w:u w:val="single"/>
    </w:rPr>
  </w:style>
  <w:style w:styleId="Style_21_ch" w:type="character">
    <w:name w:val="Hyperlink"/>
    <w:link w:val="Style_21"/>
    <w:rPr>
      <w:color w:val="0000FF"/>
      <w:u w:val="single"/>
    </w:rPr>
  </w:style>
  <w:style w:styleId="Style_22" w:type="paragraph">
    <w:name w:val="Foot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Footnote"/>
    <w:link w:val="Style_22"/>
    <w:rPr>
      <w:rFonts w:ascii="XO Thames" w:hAnsi="XO Thames"/>
      <w:sz w:val="22"/>
    </w:rPr>
  </w:style>
  <w:style w:styleId="Style_23" w:type="paragraph">
    <w:name w:val="toc 1"/>
    <w:next w:val="Style_5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ConsPlusNonformat"/>
    <w:link w:val="Style_25_ch"/>
    <w:pPr>
      <w:widowControl w:val="0"/>
      <w:ind/>
    </w:pPr>
    <w:rPr>
      <w:rFonts w:ascii="Courier New" w:hAnsi="Courier New"/>
      <w:sz w:val="20"/>
    </w:rPr>
  </w:style>
  <w:style w:styleId="Style_25_ch" w:type="character">
    <w:name w:val="ConsPlusNonformat"/>
    <w:link w:val="Style_25"/>
    <w:rPr>
      <w:rFonts w:ascii="Courier New" w:hAnsi="Courier New"/>
      <w:sz w:val="20"/>
    </w:rPr>
  </w:style>
  <w:style w:styleId="Style_26" w:type="paragraph">
    <w:name w:val="ConsPlusTitlePage"/>
    <w:link w:val="Style_26_ch"/>
    <w:pPr>
      <w:widowControl w:val="0"/>
      <w:ind/>
    </w:pPr>
    <w:rPr>
      <w:rFonts w:ascii="Tahoma" w:hAnsi="Tahoma"/>
      <w:sz w:val="20"/>
    </w:rPr>
  </w:style>
  <w:style w:styleId="Style_26_ch" w:type="character">
    <w:name w:val="ConsPlusTitlePage"/>
    <w:link w:val="Style_26"/>
    <w:rPr>
      <w:rFonts w:ascii="Tahoma" w:hAnsi="Tahoma"/>
      <w:sz w:val="20"/>
    </w:rPr>
  </w:style>
  <w:style w:styleId="Style_27" w:type="paragraph">
    <w:name w:val="ConsPlusJurTerm"/>
    <w:link w:val="Style_27_ch"/>
    <w:pPr>
      <w:widowControl w:val="0"/>
      <w:ind/>
    </w:pPr>
    <w:rPr>
      <w:rFonts w:ascii="Tahoma" w:hAnsi="Tahoma"/>
      <w:sz w:val="26"/>
    </w:rPr>
  </w:style>
  <w:style w:styleId="Style_27_ch" w:type="character">
    <w:name w:val="ConsPlusJurTerm"/>
    <w:link w:val="Style_27"/>
    <w:rPr>
      <w:rFonts w:ascii="Tahoma" w:hAnsi="Tahoma"/>
      <w:sz w:val="26"/>
    </w:rPr>
  </w:style>
  <w:style w:styleId="Style_28" w:type="paragraph">
    <w:name w:val="toc 9"/>
    <w:next w:val="Style_5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5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" w:type="paragraph">
    <w:name w:val="ConsPlusTitlePage"/>
    <w:link w:val="Style_1_ch"/>
    <w:pPr>
      <w:widowControl w:val="0"/>
      <w:ind/>
    </w:pPr>
    <w:rPr>
      <w:rFonts w:ascii="Tahoma" w:hAnsi="Tahoma"/>
      <w:sz w:val="20"/>
    </w:rPr>
  </w:style>
  <w:style w:styleId="Style_1_ch" w:type="character">
    <w:name w:val="ConsPlusTitlePage"/>
    <w:link w:val="Style_1"/>
    <w:rPr>
      <w:rFonts w:ascii="Tahoma" w:hAnsi="Tahoma"/>
      <w:sz w:val="20"/>
    </w:rPr>
  </w:style>
  <w:style w:styleId="Style_30" w:type="paragraph">
    <w:name w:val="toc 5"/>
    <w:next w:val="Style_5"/>
    <w:link w:val="Style_3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ConsPlusTextList"/>
    <w:link w:val="Style_31_ch"/>
    <w:pPr>
      <w:widowControl w:val="0"/>
      <w:ind/>
    </w:pPr>
    <w:rPr>
      <w:rFonts w:ascii="Times New Roman" w:hAnsi="Times New Roman"/>
      <w:sz w:val="24"/>
    </w:rPr>
  </w:style>
  <w:style w:styleId="Style_31_ch" w:type="character">
    <w:name w:val="ConsPlusTextList"/>
    <w:link w:val="Style_31"/>
    <w:rPr>
      <w:rFonts w:ascii="Times New Roman" w:hAnsi="Times New Roman"/>
      <w:sz w:val="24"/>
    </w:rPr>
  </w:style>
  <w:style w:styleId="Style_32" w:type="paragraph">
    <w:name w:val="ConsPlusDocList"/>
    <w:link w:val="Style_32_ch"/>
    <w:pPr>
      <w:widowControl w:val="0"/>
      <w:ind/>
    </w:pPr>
    <w:rPr>
      <w:rFonts w:ascii="Tahoma" w:hAnsi="Tahoma"/>
      <w:sz w:val="18"/>
    </w:rPr>
  </w:style>
  <w:style w:styleId="Style_32_ch" w:type="character">
    <w:name w:val="ConsPlusDocList"/>
    <w:link w:val="Style_32"/>
    <w:rPr>
      <w:rFonts w:ascii="Tahoma" w:hAnsi="Tahoma"/>
      <w:sz w:val="18"/>
    </w:rPr>
  </w:style>
  <w:style w:styleId="Style_33" w:type="paragraph">
    <w:name w:val="Subtitle"/>
    <w:next w:val="Style_5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Title"/>
    <w:next w:val="Style_5"/>
    <w:link w:val="Style_3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5"/>
    <w:link w:val="Style_3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ConsPlusTextList"/>
    <w:link w:val="Style_36_ch"/>
    <w:pPr>
      <w:widowControl w:val="0"/>
      <w:ind/>
    </w:pPr>
    <w:rPr>
      <w:rFonts w:ascii="Times New Roman" w:hAnsi="Times New Roman"/>
      <w:sz w:val="24"/>
    </w:rPr>
  </w:style>
  <w:style w:styleId="Style_36_ch" w:type="character">
    <w:name w:val="ConsPlusTextList"/>
    <w:link w:val="Style_36"/>
    <w:rPr>
      <w:rFonts w:ascii="Times New Roman" w:hAnsi="Times New Roman"/>
      <w:sz w:val="24"/>
    </w:rPr>
  </w:style>
  <w:style w:styleId="Style_37" w:type="paragraph">
    <w:name w:val="heading 2"/>
    <w:next w:val="Style_5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ConsPlusTextList"/>
    <w:link w:val="Style_38_ch"/>
    <w:pPr>
      <w:widowControl w:val="0"/>
      <w:ind/>
    </w:pPr>
    <w:rPr>
      <w:rFonts w:ascii="Times New Roman" w:hAnsi="Times New Roman"/>
      <w:sz w:val="24"/>
    </w:rPr>
  </w:style>
  <w:style w:styleId="Style_38_ch" w:type="character">
    <w:name w:val="ConsPlusTextList"/>
    <w:link w:val="Style_38"/>
    <w:rPr>
      <w:rFonts w:ascii="Times New Roman" w:hAnsi="Times New Roman"/>
      <w:sz w:val="24"/>
    </w:rPr>
  </w:style>
  <w:style w:styleId="Style_39" w:type="paragraph">
    <w:name w:val="ConsPlusTextList"/>
    <w:link w:val="Style_39_ch"/>
    <w:pPr>
      <w:widowControl w:val="0"/>
      <w:ind/>
    </w:pPr>
    <w:rPr>
      <w:rFonts w:ascii="Times New Roman" w:hAnsi="Times New Roman"/>
      <w:sz w:val="24"/>
    </w:rPr>
  </w:style>
  <w:style w:styleId="Style_39_ch" w:type="character">
    <w:name w:val="ConsPlusTextList"/>
    <w:link w:val="Style_39"/>
    <w:rPr>
      <w:rFonts w:ascii="Times New Roman" w:hAnsi="Times New Roman"/>
      <w:sz w:val="24"/>
    </w:rPr>
  </w:style>
  <w:style w:styleId="Style_40" w:type="paragraph">
    <w:name w:val="ConsPlusNonformat"/>
    <w:link w:val="Style_40_ch"/>
    <w:pPr>
      <w:widowControl w:val="0"/>
      <w:ind/>
    </w:pPr>
    <w:rPr>
      <w:rFonts w:ascii="Courier New" w:hAnsi="Courier New"/>
      <w:sz w:val="20"/>
    </w:rPr>
  </w:style>
  <w:style w:styleId="Style_40_ch" w:type="character">
    <w:name w:val="ConsPlusNonformat"/>
    <w:link w:val="Style_40"/>
    <w:rPr>
      <w:rFonts w:ascii="Courier New" w:hAnsi="Courier New"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header1.xml" Type="http://schemas.openxmlformats.org/officeDocument/2006/relationships/head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2026-08-21T06:53:32Z</dcterms:created>
  <dcterms:modified xsi:type="dcterms:W3CDTF">2026-08-21T06:53:32Z</dcterms:modified>
</cp:coreProperties>
</file>