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1"/>
            </w:pPr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1"/>
              <w:widowControl w:val="1"/>
              <w:ind/>
              <w:jc w:val="center"/>
            </w:pPr>
            <w:r>
              <w:rPr>
                <w:sz w:val="48"/>
              </w:rPr>
              <w:t>"План противодействия коррупции в Главном управлении специальных программ Президента Российской Федерации на 2026 год"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(утв. приказом ГУСП от 22.12.2025 N 287)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21.08.2026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17000000">
      <w:pPr>
        <w:pStyle w:val="Style_2"/>
        <w:widowControl w:val="1"/>
        <w:ind/>
        <w:jc w:val="both"/>
        <w:outlineLvl w:val="0"/>
      </w:pPr>
    </w:p>
    <w:p w14:paraId="18000000">
      <w:pPr>
        <w:pStyle w:val="Style_2"/>
        <w:widowControl w:val="1"/>
        <w:ind/>
        <w:jc w:val="right"/>
      </w:pPr>
      <w:r>
        <w:rPr>
          <w:sz w:val="24"/>
        </w:rPr>
        <w:t>Утвержден</w:t>
      </w:r>
    </w:p>
    <w:p w14:paraId="19000000">
      <w:pPr>
        <w:pStyle w:val="Style_2"/>
        <w:widowControl w:val="1"/>
        <w:ind/>
        <w:jc w:val="right"/>
      </w:pPr>
      <w:r>
        <w:rPr>
          <w:sz w:val="24"/>
        </w:rPr>
        <w:t>приказом Главного управления</w:t>
      </w:r>
    </w:p>
    <w:p w14:paraId="1A000000">
      <w:pPr>
        <w:pStyle w:val="Style_2"/>
        <w:widowControl w:val="1"/>
        <w:ind/>
        <w:jc w:val="right"/>
      </w:pPr>
      <w:r>
        <w:rPr>
          <w:sz w:val="24"/>
        </w:rPr>
        <w:t>специальных программ Президента</w:t>
      </w:r>
    </w:p>
    <w:p w14:paraId="1B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1C000000">
      <w:pPr>
        <w:pStyle w:val="Style_2"/>
        <w:widowControl w:val="1"/>
        <w:ind/>
        <w:jc w:val="right"/>
      </w:pPr>
      <w:r>
        <w:rPr>
          <w:sz w:val="24"/>
        </w:rPr>
        <w:t>от 22 декабря 2025 г. N 287</w:t>
      </w:r>
    </w:p>
    <w:p w14:paraId="1D000000">
      <w:pPr>
        <w:pStyle w:val="Style_2"/>
        <w:widowControl w:val="1"/>
        <w:ind/>
        <w:jc w:val="both"/>
      </w:pPr>
    </w:p>
    <w:p w14:paraId="1E000000">
      <w:pPr>
        <w:pStyle w:val="Style_3"/>
        <w:widowControl w:val="1"/>
        <w:ind/>
        <w:jc w:val="center"/>
      </w:pPr>
      <w:r>
        <w:rPr>
          <w:sz w:val="24"/>
        </w:rPr>
        <w:t>ПЛАН</w:t>
      </w:r>
    </w:p>
    <w:p w14:paraId="1F000000">
      <w:pPr>
        <w:pStyle w:val="Style_3"/>
        <w:widowControl w:val="1"/>
        <w:ind/>
        <w:jc w:val="center"/>
      </w:pPr>
      <w:r>
        <w:rPr>
          <w:sz w:val="24"/>
        </w:rPr>
        <w:t>ПРОТИВОДЕЙСТВИЯ КОРРУПЦИИ В ГЛАВНОМ УПРАВЛЕНИИ СПЕЦИАЛЬНЫХ</w:t>
      </w:r>
    </w:p>
    <w:p w14:paraId="20000000">
      <w:pPr>
        <w:pStyle w:val="Style_3"/>
        <w:widowControl w:val="1"/>
        <w:ind/>
        <w:jc w:val="center"/>
      </w:pPr>
      <w:r>
        <w:rPr>
          <w:sz w:val="24"/>
        </w:rPr>
        <w:t>ПРОГРАММ ПРЕЗИДЕНТА РОССИЙСКОЙ ФЕДЕРАЦИИ</w:t>
      </w:r>
    </w:p>
    <w:p w14:paraId="21000000">
      <w:pPr>
        <w:pStyle w:val="Style_3"/>
        <w:widowControl w:val="1"/>
        <w:ind/>
        <w:jc w:val="center"/>
      </w:pPr>
      <w:r>
        <w:rPr>
          <w:sz w:val="24"/>
        </w:rPr>
        <w:t>НА 2026 ГОД</w:t>
      </w:r>
    </w:p>
    <w:p w14:paraId="22000000">
      <w:pPr>
        <w:pStyle w:val="Style_2"/>
        <w:widowControl w:val="1"/>
        <w:ind w:firstLine="540"/>
        <w:jc w:val="both"/>
      </w:pPr>
    </w:p>
    <w:tbl>
      <w:tblPr>
        <w:tblW w:type="auto" w:w="0"/>
        <w:tblInd w:type="dxa" w:w="0"/>
        <w:tblBorders>
          <w:top w:sz="4" w:val="single"/>
          <w:bottom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7"/>
        <w:gridCol w:w="5102"/>
        <w:gridCol w:w="1928"/>
        <w:gridCol w:w="1417"/>
        <w:gridCol w:w="4592"/>
      </w:tblGrid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N п/п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Мероприятия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Ответственные исполнители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Ожидаемый результат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5</w:t>
            </w:r>
          </w:p>
        </w:tc>
      </w:tr>
      <w:tr>
        <w:tc>
          <w:tcPr>
            <w:tcW w:type="dxa" w:w="13606"/>
            <w:gridSpan w:val="5"/>
            <w:tcBorders>
              <w:top w:sz="4" w:val="single"/>
              <w:left w:sz="4" w:val="nil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00000">
            <w:pPr>
              <w:pStyle w:val="Style_2"/>
              <w:widowControl w:val="1"/>
              <w:ind/>
              <w:jc w:val="center"/>
              <w:outlineLvl w:val="0"/>
            </w:pPr>
            <w:r>
              <w:rPr>
                <w:sz w:val="24"/>
              </w:rPr>
              <w:t xml:space="preserve">I. 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военнослужащими ГУСПа </w:t>
            </w:r>
            <w:r>
              <w:rPr>
                <w:color w:val="0000FF"/>
                <w:sz w:val="24"/>
              </w:rPr>
              <w:fldChar w:fldCharType="begin"/>
            </w:r>
            <w:r>
              <w:rPr>
                <w:color w:val="0000FF"/>
                <w:sz w:val="24"/>
              </w:rPr>
              <w:instrText>HYPERLINK \l "P147" \o "&lt;1&gt; Далее - государственные служащие."</w:instrText>
            </w:r>
            <w:r>
              <w:rPr>
                <w:color w:val="0000FF"/>
                <w:sz w:val="24"/>
              </w:rPr>
              <w:fldChar w:fldCharType="separate"/>
            </w:r>
            <w:r>
              <w:rPr>
                <w:color w:val="0000FF"/>
                <w:sz w:val="24"/>
              </w:rPr>
              <w:t>&lt;1&gt;</w:t>
            </w:r>
            <w:r>
              <w:rPr>
                <w:color w:val="0000FF"/>
                <w:sz w:val="24"/>
              </w:rPr>
              <w:fldChar w:fldCharType="end"/>
            </w:r>
            <w:r>
              <w:rPr>
                <w:sz w:val="24"/>
              </w:rPr>
              <w:t xml:space="preserve"> и работниками организаций, созданных для выполнения задач, поставленных перед ГУСПом </w:t>
            </w:r>
            <w:r>
              <w:rPr>
                <w:color w:val="0000FF"/>
                <w:sz w:val="24"/>
              </w:rPr>
              <w:fldChar w:fldCharType="begin"/>
            </w:r>
            <w:r>
              <w:rPr>
                <w:color w:val="0000FF"/>
                <w:sz w:val="24"/>
              </w:rPr>
              <w:instrText>HYPERLINK \l "P148" \o "&lt;2&gt; Далее - работники."</w:instrText>
            </w:r>
            <w:r>
              <w:rPr>
                <w:color w:val="0000FF"/>
                <w:sz w:val="24"/>
              </w:rPr>
              <w:fldChar w:fldCharType="separate"/>
            </w:r>
            <w:r>
              <w:rPr>
                <w:color w:val="0000FF"/>
                <w:sz w:val="24"/>
              </w:rPr>
              <w:t>&lt;2&gt;</w:t>
            </w:r>
            <w:r>
              <w:rPr>
                <w:color w:val="0000FF"/>
                <w:sz w:val="24"/>
              </w:rPr>
              <w:fldChar w:fldCharType="end"/>
            </w:r>
            <w:r>
              <w:rPr>
                <w:sz w:val="24"/>
              </w:rPr>
              <w:t>,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Издание распоряжения ГУСПа "Об организации представления сведений о доходах, расходах, об имуществе и обязательствах имущественного характера в Главном управлении специальных программ Президента Российской Федерации в 2026 году"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До 15 января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Распоряжение ГУСПа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2.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Мониторинг представления сведений о доходах, расходах, об имуществе и обязательствах имущественного характера, представляемых государственными служащими и работниками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 xml:space="preserve">Управление кадров ГУСПа, кадровые подразделения структурных подразделений ГУСПа и подведомственных ГУСПу организаций </w:t>
            </w:r>
            <w:r>
              <w:rPr>
                <w:color w:val="0000FF"/>
                <w:sz w:val="24"/>
              </w:rPr>
              <w:fldChar w:fldCharType="begin"/>
            </w:r>
            <w:r>
              <w:rPr>
                <w:color w:val="0000FF"/>
                <w:sz w:val="24"/>
              </w:rPr>
              <w:instrText>HYPERLINK \l "P149" \o "&lt;3&gt; Далее - кадровые подразделения."</w:instrText>
            </w:r>
            <w:r>
              <w:rPr>
                <w:color w:val="0000FF"/>
                <w:sz w:val="24"/>
              </w:rPr>
              <w:fldChar w:fldCharType="separate"/>
            </w:r>
            <w:r>
              <w:rPr>
                <w:color w:val="0000FF"/>
                <w:sz w:val="24"/>
              </w:rPr>
              <w:t>&lt;3&gt;</w:t>
            </w:r>
            <w:r>
              <w:rPr>
                <w:color w:val="0000FF"/>
                <w:sz w:val="24"/>
              </w:rPr>
              <w:fldChar w:fldCharType="end"/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Один раз в две недели в период с 30 января по 31 мая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Доклады начальнику ГУСПа (начальнику структурного подразделения ГУСПа, руководителю подведомственной ГУСПу организации) о ходе представления сведений о доходах, расходах, об имуществе и обязательствах имущественного характера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3.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Направление в Управление Президента Российской Федерации по вопросам государственной службы, кадров и противодействия коррупции сведений о доходах, расходах, об имуществе и обязательствах имущественного характера, представляемых государственными служащими, замещающими должности, назначение на которые и освобождение от которых осуществляются Президентом Российской Федерации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До 15 апреля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Письмо в Управление Президента Российской Федерации по вопросам государственной службы, кадров и противодействия коррупции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4.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Проведение анализа сведений о доходах, расходах об имуществе и обязательствах имущественного характера, представленных государственными служащими и работниками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ГУСПа, кадровые подразделения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 июня - 30 сентября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Доклады начальнику ГУСПа (начальнику структурного подразделения ГУСПа, руководителю подведомственной ГУСПу организации) об итогах сведений о доходах, расходах, об имуществе и обязательствах имущественного характера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5.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Проведение анализа содержания действующих нормативных правовых актов ГУСПа и иных актов в области противодействия коррупции, их соответствия законодательству Российской Федерации и организация работы по их актуализации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ГУСПа, Юридический отдел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 октября - 30 ноября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Доклад заместителю начальника ГУСПа, ответственному за организацию соблюдения в ГУСПе требований законодательства Российской Федерации о противодействии коррупции, разработка проектов нормативных правовых актов (при необходимости)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6.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Рассмотрение на заседании комиссии ГУСПа (структурного подразделения ГУСПа, подведомственной ГУСПу организации) по соблюдению требований к служебному поведению и урегулированию конфликта интересов (аттестационной комиссии) </w:t>
            </w:r>
            <w:r>
              <w:rPr>
                <w:color w:val="0000FF"/>
                <w:sz w:val="24"/>
              </w:rPr>
              <w:fldChar w:fldCharType="begin"/>
            </w:r>
            <w:r>
              <w:rPr>
                <w:color w:val="0000FF"/>
                <w:sz w:val="24"/>
              </w:rPr>
              <w:instrText>HYPERLINK \l "P150" \o "&lt;4&gt; Далее - Комиссия."</w:instrText>
            </w:r>
            <w:r>
              <w:rPr>
                <w:color w:val="0000FF"/>
                <w:sz w:val="24"/>
              </w:rPr>
              <w:fldChar w:fldCharType="separate"/>
            </w:r>
            <w:r>
              <w:rPr>
                <w:color w:val="0000FF"/>
                <w:sz w:val="24"/>
              </w:rPr>
              <w:t>&lt;4&gt;</w:t>
            </w:r>
            <w:r>
              <w:rPr>
                <w:color w:val="0000FF"/>
                <w:sz w:val="24"/>
              </w:rPr>
              <w:fldChar w:fldCharType="end"/>
            </w:r>
            <w:r>
              <w:rPr>
                <w:sz w:val="24"/>
              </w:rPr>
              <w:t xml:space="preserve"> результатов реализации мер по предупреждению коррупции, в том числе выполнения Плана противодействия коррупции в ГУСПе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ГУСПа, кадровые подразделения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Первая декада декабря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Протокол заседания Комиссии. Доклад начальнику ГУСПа (начальнику структурного подразделения ГУСПа, руководителю подведомственной ГУСПу организации)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7.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Рассмотрение на заседании Коллегии ГУСПа результатов реализации мер по предупреждению коррупции, в том числе выполнения Плана противодействия коррупции в ГУСПе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Коллегия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По отдельному плану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Протокол заседания Коллегии. Перечень поручений по результатам работы Коллегии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8.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Проведение совещаний с кадровыми подразделениями по вопросам соблюдения антикоррупционных стандартов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ГУСПа, кадровые подразделения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Вторая декада декабря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Протокол совещания. Перечень поручений по результатам проведения совещания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9.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Мониторинг соблюдения лицами, замещавшими должности государственной службы в ГУСПе, включенные в перечни, установленные нормативными правовыми актами Российской Федерации, ограничений, предусмотренных </w:t>
            </w:r>
            <w:r>
              <w:rPr>
                <w:sz w:val="24"/>
              </w:rPr>
              <w:t>статьей 12</w:t>
            </w:r>
            <w:r>
              <w:rPr>
                <w:sz w:val="24"/>
              </w:rPr>
              <w:t xml:space="preserve"> Федерального закона от 25 декабря 2008 г. N 273-ФЗ "О противодействии коррупции", при заключении ими после увольнения с федеральной государственной гражданской службы трудовых и гражданско-правовых договоров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ГУСПа, кадровые подразделения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Февраль, август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Направление информации в Генеральную прокуратуру Российской Федерации об отсутствии уведомлений работодателей о заключении трудового или гражданско-правового договора на выполнение работ (оказание услуг) с гражданами, замещавшими должности государственной службы в ГУСПе, включенные в перечни, установленные нормативными правовыми актами Российской Федерации, в целях соблюдения </w:t>
            </w:r>
            <w:r>
              <w:rPr>
                <w:sz w:val="24"/>
              </w:rPr>
              <w:t>статьи 12</w:t>
            </w:r>
            <w:r>
              <w:rPr>
                <w:sz w:val="24"/>
              </w:rPr>
              <w:t xml:space="preserve"> Федерального закона от 25 декабря 2008 г. N 273-ФЗ "О противодействии коррупции", статьи 64.1 Трудового кодекса Российской Федерации (при необходимости)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10.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Подготовка и доведение до сведения государственных служащих и работников, включенных в перечни, установленные нормативными правовыми актами Российской Федерации и ГУСПа, информации, касающейся: порядка и сроков представления сведений о доходах, расходах об имуществе и обязательствах имущественного характера; типовых ошибок, допускаемых при представлении сведений о доходах, расходах об имуществе и обязательствах имущественного характера; использования специального программного обеспечения "Справки БК"; применения мер юридической ответственности за представление недостоверных или неполных сведений о доходах, расходах об имуществе и обязательствах имущественного характера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ГУСПа, кадровые подразделения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Третья декада декабря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Информационное письмо в структурные подразделения ГУСПа и подведомственные ГУСПу организации. Инструкторско-методическое занятие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11.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Сбор и анализ деклараций о возможной личной заинтересованности, разработанных Министерством труда и социальной защиты Российской Федерации, с целью выявления личной заинтересованности государственных служащих и работников, которая приводит или может привести к конфликту интересов при осуществлении закупок товаров, работ, услуг, осуществляемых в соответствии с федеральными законами от 5 апреля 2013 г. </w:t>
            </w:r>
            <w:r>
              <w:rPr>
                <w:sz w:val="24"/>
              </w:rPr>
              <w:t>N 44-ФЗ</w:t>
            </w:r>
            <w:r>
              <w:rPr>
                <w:sz w:val="24"/>
              </w:rPr>
              <w:t xml:space="preserve"> "О контрактной системе в сфере закупок товаров, работ, услуг для обеспечения государственных и муниципальных нужд" и от 18 июля 2011 г. </w:t>
            </w:r>
            <w:r>
              <w:rPr>
                <w:sz w:val="24"/>
              </w:rPr>
              <w:t>N 223-ФЗ</w:t>
            </w:r>
            <w:r>
              <w:rPr>
                <w:sz w:val="24"/>
              </w:rPr>
              <w:t xml:space="preserve"> "О закупках товаров, работ, услуг отдельными видами юридических лиц"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Контрактная служба ГУСПа, контрактные службы структурных подразделений ГУСПа и подведомственных ГУСПу организаций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До 1 ноября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Доклад о результатах работы по проведению анализа деклараций о возможной личной заинтересованности начальнику ГУСПа (начальнику структурного подразделения ГУСПа, руководителю подведомственной ГУСПу организации). Принятие соответствующих решений (при необходимости)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12.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Направление в Министерство труда и социальной защиты Российской Федерации информации об организации участия государственных служащих и должностных лиц подведомственных ГУСПу организаций в мероприятиях по профессиональному развитию в области противодействия коррупции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До 1 февраля (за 2025 г.)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Письмо в Министерство труда и социального развития Российской Федерации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13.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Планирование мероприятий дополнительного профессионального образования по повышению квалификации государственными служащими по образовательным программам в области противодействия коррупции:</w:t>
            </w:r>
          </w:p>
          <w:p w14:paraId="6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а) в должностные обязанности которых входит участие в противодействии коррупции;</w:t>
            </w:r>
          </w:p>
          <w:p w14:paraId="6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б) впервые поступивших на государственную службу;</w:t>
            </w:r>
          </w:p>
          <w:p w14:paraId="6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в)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До 1 мая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План мероприятий по профессиональному развитию федеральных государственных гражданских служащих ГУСПа</w:t>
            </w:r>
          </w:p>
        </w:tc>
      </w:tr>
      <w:tr>
        <w:tc>
          <w:tcPr>
            <w:tcW w:type="dxa" w:w="13606"/>
            <w:gridSpan w:val="5"/>
            <w:tcBorders>
              <w:top w:sz="4" w:val="single"/>
              <w:left w:sz="4" w:val="nil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pStyle w:val="Style_2"/>
              <w:widowControl w:val="1"/>
              <w:ind/>
              <w:jc w:val="center"/>
              <w:outlineLvl w:val="0"/>
            </w:pPr>
            <w:r>
              <w:rPr>
                <w:sz w:val="24"/>
              </w:rPr>
              <w:t>II. Выявление, систематизация причин и условий проявления коррупции в деятельности ГУСПа, мониторинг коррупционных рисков и их устранение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14.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Проведение оценки коррупционных рисков, возникающих при реализации ГУСПом своих функций, и внесение уточнений в перечень должностей федеральной государственной службы в ГУСПе, замещение которых связано с коррупционными рисками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ГУСПа, структурные подразделения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До 15 июля (за первое полугодие), до 20 декабря (за год)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Доклад о результатах оценки заместителю начальника ГУСПа, ответственному за организацию соблюдения в ГУСПе требований законодательства Российской Федерации о противодействии коррупции. Корректировка Реестра (карты) коррупционных рисков, возникающих при осуществлении деятельности ГУСПа, Плана мер, направленных на минимизацию коррупционных рисков, и перечня должностей федеральной государственной службы в ГУСПе, замещение которых связано с коррупционными рисками (при необходимости)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15.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Проведение оценки коррупционных рисков, возникающих при осуществлении ГУСПом закупок товаров, работ, услуг для обеспечения государственных нужд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ГУСПа, контрактная служба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До 15 июля (за первое полугодие), до 20 декабря (за год)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Доклад о результатах оценки заместителю начальника ГУСПа, ответственному за организацию соблюдения в ГУСПе требований законодательства Российской Федерации о противодействии коррупции. Корректировка Реестра (карты) коррупционных рисков, возникающих при осуществлении ГУСПом закупок товаров, работ, услуг для обеспечения государственных нужд, и Плана мер, направленных на минимизацию коррупционных рисков (при необходимости)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16.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Анализ коррупционных рисков, возникающих при реализации государственных программ Российской Федерации в установленной сфере деятельности ГУСПа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Заместители начальника ГУСПа, начальники структурных подразделений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I квартал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Выработка и доклад начальнику ГУСПа предложений по совершенствованию механизмов профилактики коррупции при реализации государственных программ Российской Федерации в установленной сфере деятельности ГУСПа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17.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Обеспечение участия независимых экспертов в проведении антикоррупционной экспертизы проектов нормативных правовых актов ГУСПа путем размещения таких проектов на официальном сайте </w:t>
            </w:r>
            <w:r>
              <w:rPr>
                <w:color w:val="0000FF"/>
                <w:sz w:val="24"/>
              </w:rPr>
              <w:fldChar w:fldCharType="begin"/>
            </w:r>
            <w:r>
              <w:rPr>
                <w:color w:val="0000FF"/>
                <w:sz w:val="24"/>
              </w:rPr>
              <w:instrText>HYPERLINK "https://regulation.gov.ru"</w:instrText>
            </w:r>
            <w:r>
              <w:rPr>
                <w:color w:val="0000FF"/>
                <w:sz w:val="24"/>
              </w:rPr>
              <w:fldChar w:fldCharType="separate"/>
            </w:r>
            <w:r>
              <w:rPr>
                <w:color w:val="0000FF"/>
                <w:sz w:val="24"/>
              </w:rPr>
              <w:t>regulation.gov.ru</w:t>
            </w:r>
            <w:r>
              <w:rPr>
                <w:color w:val="0000FF"/>
                <w:sz w:val="24"/>
              </w:rPr>
              <w:fldChar w:fldCharType="end"/>
            </w:r>
            <w:r>
              <w:rPr>
                <w:sz w:val="24"/>
              </w:rPr>
              <w:t xml:space="preserve"> в информационно-телекоммуникационной сети "Интернет". Рассмотрение заключений по результатам независимой антикоррупционной экспертизы и направление мотивированных ответов экспертам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Юридический отдел ГУСПа, структурные подразделения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Проведение независимой антикоррупционной экспертизы проектов нормативных правовых актов ГУСПа в целях выявления в них коррупциогенных факторов и их последующего устранения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18.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Направление в Министерство юстиции Российской Федерации нормативных правовых актов ГУСПа для их государственной регистрации, включающей в себя проведение антикоррупционной экспертизы таких актов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Юридический отдел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Оценка Министерством юстиции Российской Федерации нормативных правовых актов ГУСПа на предмет наличия или отсутствия в них коррупциогенных факторов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19.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Направление в Главную военную прокуратуру нормативных правовых актов ГУСПа, прошедших государственную регистрацию в Минюсте России, для проведениях их антикоррупционной экспертизы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Юридический отдел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Оценка Главной военной прокуратурой нормативных правовых актов ГУСПа на предмет наличия или отсутствия в них коррупциогенных факторов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20.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pStyle w:val="Style_2"/>
            </w:pPr>
            <w:r>
              <w:rPr>
                <w:sz w:val="24"/>
              </w:rPr>
              <w:t>Анализ результатов проведения антикоррупционной экспертизы нормативных правовых актов ГУСПа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Юридический отдел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Январь, июль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Направление сведений о результатах антикоррупционной экспертизы нормативных правовых актов ГУСПа в Министерство юстиции Российской Федерации и Главную военную прокуратуру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21.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 xml:space="preserve">Рассмотрение в соответствии с </w:t>
            </w:r>
            <w:r>
              <w:rPr>
                <w:sz w:val="24"/>
              </w:rPr>
              <w:t>пунктом 2.1 статьи 6</w:t>
            </w:r>
            <w:r>
              <w:rPr>
                <w:sz w:val="24"/>
              </w:rPr>
              <w:t xml:space="preserve"> Федерального закона от 25 декабря 2008 г. N 273-ФЗ "О противодействии коррупции"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(бездействия) государственных органов, организаций и их должностных лиц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Рабочая группа по рассмотрению вопросов правоприменительной практики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Последняя декада каждого квартала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Протокол заседания рабочей группы</w:t>
            </w:r>
          </w:p>
        </w:tc>
      </w:tr>
      <w:tr>
        <w:tc>
          <w:tcPr>
            <w:tcW w:type="dxa" w:w="13606"/>
            <w:gridSpan w:val="5"/>
            <w:tcBorders>
              <w:top w:sz="4" w:val="single"/>
              <w:left w:sz="4" w:val="nil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00000">
            <w:pPr>
              <w:pStyle w:val="Style_2"/>
              <w:widowControl w:val="1"/>
              <w:ind/>
              <w:jc w:val="center"/>
              <w:outlineLvl w:val="0"/>
            </w:pPr>
            <w:r>
              <w:rPr>
                <w:sz w:val="24"/>
              </w:rPr>
              <w:t>III. Взаимодействие ГУСПа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ГУСПа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22.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Размещение на официальном сайте ГУСПа в информационно-телекоммуникационной сети "Интернет" в подразделе, посвященном вопросам противодействия коррупции, актуальной информации о мерах по предупреждению коррупции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Ежемесячно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Поддержание информации в актуальном состоянии</w:t>
            </w:r>
          </w:p>
        </w:tc>
      </w:tr>
      <w:tr>
        <w:tc>
          <w:tcPr>
            <w:tcW w:type="dxa" w:w="567"/>
            <w:tcBorders>
              <w:top w:sz="4" w:val="single"/>
              <w:left w:sz="4" w:val="nil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23.</w:t>
            </w:r>
          </w:p>
        </w:tc>
        <w:tc>
          <w:tcPr>
            <w:tcW w:type="dxa" w:w="5102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Анализ практики рассмотрения обращений граждан и организаций по вопросам противодействия коррупции в ГУСПе, в том числе обращений, поступивших по "телефону доверия", на "горячую линию"</w:t>
            </w:r>
          </w:p>
        </w:tc>
        <w:tc>
          <w:tcPr>
            <w:tcW w:type="dxa" w:w="1928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Управление кадров ГУСПа</w:t>
            </w:r>
          </w:p>
        </w:tc>
        <w:tc>
          <w:tcPr>
            <w:tcW w:type="dxa" w:w="1417"/>
            <w:tcBorders>
              <w:top w:sz="4" w:val="single"/>
              <w:bottom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Вторая декада декабря</w:t>
            </w:r>
          </w:p>
        </w:tc>
        <w:tc>
          <w:tcPr>
            <w:tcW w:type="dxa" w:w="4592"/>
            <w:tcBorders>
              <w:top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pStyle w:val="Style_2"/>
              <w:widowControl w:val="1"/>
              <w:ind/>
              <w:jc w:val="both"/>
            </w:pPr>
            <w:r>
              <w:rPr>
                <w:sz w:val="24"/>
              </w:rPr>
              <w:t>Доклад заместителю начальника ГУСПа, ответственному за организацию соблюдения в ГУСПе требований законодательства Российской Федерации о противодействии коррупции</w:t>
            </w:r>
          </w:p>
        </w:tc>
      </w:tr>
      <w:tr>
        <w:tc>
          <w:tcPr>
            <w:tcW w:type="dxa" w:w="13606"/>
            <w:gridSpan w:val="5"/>
            <w:tcBorders>
              <w:top w:sz="4" w:val="single"/>
              <w:left w:sz="4" w:val="nil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pStyle w:val="Style_2"/>
              <w:widowControl w:val="1"/>
              <w:ind/>
              <w:jc w:val="center"/>
              <w:outlineLvl w:val="0"/>
            </w:pPr>
            <w:r>
              <w:rPr>
                <w:sz w:val="24"/>
              </w:rPr>
              <w:t>IV. Мероприятия ГУСПа, направленные на противодействие коррупции, с учетом специфики его деятельности</w:t>
            </w:r>
          </w:p>
          <w:p w14:paraId="A7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(не для печати)</w:t>
            </w:r>
          </w:p>
        </w:tc>
      </w:tr>
    </w:tbl>
    <w:p w14:paraId="A8000000">
      <w:pPr>
        <w:pStyle w:val="Style_2"/>
        <w:widowControl w:val="1"/>
        <w:ind w:firstLine="540"/>
        <w:jc w:val="both"/>
      </w:pPr>
    </w:p>
    <w:p w14:paraId="A9000000">
      <w:pPr>
        <w:pStyle w:val="Style_2"/>
        <w:widowControl w:val="1"/>
        <w:ind w:firstLine="540"/>
        <w:jc w:val="both"/>
      </w:pPr>
      <w:r>
        <w:rPr>
          <w:sz w:val="24"/>
        </w:rPr>
        <w:t>--------------------------------</w:t>
      </w:r>
    </w:p>
    <w:p w14:paraId="AA000000">
      <w:pPr>
        <w:pStyle w:val="Style_2"/>
        <w:widowControl w:val="1"/>
        <w:spacing w:before="240"/>
        <w:ind w:firstLine="540"/>
        <w:jc w:val="both"/>
      </w:pPr>
      <w:bookmarkStart w:id="1" w:name="P147"/>
      <w:bookmarkEnd w:id="1"/>
      <w:r>
        <w:rPr>
          <w:sz w:val="24"/>
        </w:rPr>
        <w:t>&lt;1&gt; Далее - государственные служащие.</w:t>
      </w:r>
    </w:p>
    <w:p w14:paraId="AB000000">
      <w:pPr>
        <w:pStyle w:val="Style_2"/>
        <w:widowControl w:val="1"/>
        <w:spacing w:before="240"/>
        <w:ind w:firstLine="540"/>
        <w:jc w:val="both"/>
      </w:pPr>
      <w:bookmarkStart w:id="2" w:name="P148"/>
      <w:bookmarkEnd w:id="2"/>
      <w:r>
        <w:rPr>
          <w:sz w:val="24"/>
        </w:rPr>
        <w:t>&lt;2&gt; Далее - работники.</w:t>
      </w:r>
    </w:p>
    <w:p w14:paraId="AC000000">
      <w:pPr>
        <w:pStyle w:val="Style_2"/>
        <w:widowControl w:val="1"/>
        <w:spacing w:before="240"/>
        <w:ind w:firstLine="540"/>
        <w:jc w:val="both"/>
      </w:pPr>
      <w:bookmarkStart w:id="3" w:name="P149"/>
      <w:bookmarkEnd w:id="3"/>
      <w:r>
        <w:rPr>
          <w:sz w:val="24"/>
        </w:rPr>
        <w:t>&lt;3&gt; Далее - кадровые подразделения.</w:t>
      </w:r>
    </w:p>
    <w:p w14:paraId="AD000000">
      <w:pPr>
        <w:pStyle w:val="Style_2"/>
        <w:widowControl w:val="1"/>
        <w:spacing w:before="240"/>
        <w:ind w:firstLine="540"/>
        <w:jc w:val="both"/>
      </w:pPr>
      <w:bookmarkStart w:id="4" w:name="P150"/>
      <w:bookmarkEnd w:id="4"/>
      <w:r>
        <w:rPr>
          <w:sz w:val="24"/>
        </w:rPr>
        <w:t>&lt;4&gt; Далее - Комиссия.</w:t>
      </w:r>
    </w:p>
    <w:p w14:paraId="AE000000">
      <w:pPr>
        <w:pStyle w:val="Style_2"/>
        <w:widowControl w:val="1"/>
        <w:ind/>
        <w:jc w:val="both"/>
      </w:pPr>
    </w:p>
    <w:p w14:paraId="AF000000">
      <w:pPr>
        <w:pStyle w:val="Style_2"/>
        <w:widowControl w:val="1"/>
        <w:ind/>
        <w:jc w:val="both"/>
      </w:pPr>
    </w:p>
    <w:p w14:paraId="B0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1" w:type="default"/>
      <w:headerReference r:id="rId3" w:type="first"/>
      <w:footerReference r:id="rId2" w:type="default"/>
      <w:footerReference r:id="rId4" w:type="first"/>
      <w:pgSz w:h="11906" w:orient="landscape" w:w="16838"/>
      <w:pgMar w:bottom="566" w:footer="0" w:gutter="0" w:header="0" w:left="1440" w:right="1440" w:top="113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170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170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190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"План противодействия коррупции в Главном управлении специальных программ Президента Российской Федерации на 2026 год"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190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"План противодействия коррупции в Главном управлении специальных программ Президента Российской Федерации на 2026 год"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4" w:type="paragraph">
    <w:name w:val="ConsPlusTitlePage"/>
    <w:link w:val="Style_4_ch"/>
    <w:pPr>
      <w:widowControl w:val="0"/>
      <w:ind/>
    </w:pPr>
    <w:rPr>
      <w:rFonts w:ascii="Tahoma" w:hAnsi="Tahoma"/>
      <w:sz w:val="20"/>
    </w:rPr>
  </w:style>
  <w:style w:styleId="Style_4_ch" w:type="character">
    <w:name w:val="ConsPlusTitlePage"/>
    <w:link w:val="Style_4"/>
    <w:rPr>
      <w:rFonts w:ascii="Tahoma" w:hAnsi="Tahoma"/>
      <w:sz w:val="20"/>
    </w:rPr>
  </w:style>
  <w:style w:styleId="Style_5" w:type="paragraph">
    <w:name w:val="ConsPlusJurTerm"/>
    <w:link w:val="Style_5_ch"/>
    <w:pPr>
      <w:widowControl w:val="0"/>
      <w:ind/>
    </w:pPr>
    <w:rPr>
      <w:rFonts w:ascii="Tahoma" w:hAnsi="Tahoma"/>
      <w:sz w:val="26"/>
    </w:rPr>
  </w:style>
  <w:style w:styleId="Style_5_ch" w:type="character">
    <w:name w:val="ConsPlusJurTerm"/>
    <w:link w:val="Style_5"/>
    <w:rPr>
      <w:rFonts w:ascii="Tahoma" w:hAnsi="Tahoma"/>
      <w:sz w:val="26"/>
    </w:rPr>
  </w:style>
  <w:style w:styleId="Style_6" w:type="paragraph">
    <w:name w:val="toc 2"/>
    <w:next w:val="Style_7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8" w:type="paragraph">
    <w:name w:val="ConsPlusCell"/>
    <w:link w:val="Style_8_ch"/>
    <w:pPr>
      <w:widowControl w:val="0"/>
      <w:ind/>
    </w:pPr>
    <w:rPr>
      <w:rFonts w:ascii="Courier New" w:hAnsi="Courier New"/>
      <w:sz w:val="20"/>
    </w:rPr>
  </w:style>
  <w:style w:styleId="Style_8_ch" w:type="character">
    <w:name w:val="ConsPlusCell"/>
    <w:link w:val="Style_8"/>
    <w:rPr>
      <w:rFonts w:ascii="Courier New" w:hAnsi="Courier New"/>
      <w:sz w:val="20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7" w:type="paragraph">
    <w:name w:val="Normal"/>
    <w:link w:val="Style_7_ch"/>
    <w:uiPriority w:val="0"/>
    <w:qFormat/>
  </w:style>
  <w:style w:styleId="Style_7_ch" w:type="character">
    <w:name w:val="Normal"/>
    <w:link w:val="Style_7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ConsPlusJurTerm"/>
    <w:link w:val="Style_14_ch"/>
    <w:pPr>
      <w:widowControl w:val="0"/>
      <w:ind/>
    </w:pPr>
    <w:rPr>
      <w:rFonts w:ascii="Tahoma" w:hAnsi="Tahoma"/>
      <w:sz w:val="26"/>
    </w:rPr>
  </w:style>
  <w:style w:styleId="Style_14_ch" w:type="character">
    <w:name w:val="ConsPlusJurTerm"/>
    <w:link w:val="Style_14"/>
    <w:rPr>
      <w:rFonts w:ascii="Tahoma" w:hAnsi="Tahoma"/>
      <w:sz w:val="26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15" w:type="paragraph">
    <w:name w:val="ConsPlusDocList"/>
    <w:link w:val="Style_15_ch"/>
    <w:pPr>
      <w:widowControl w:val="0"/>
      <w:ind/>
    </w:pPr>
    <w:rPr>
      <w:rFonts w:ascii="Tahoma" w:hAnsi="Tahoma"/>
      <w:sz w:val="18"/>
    </w:rPr>
  </w:style>
  <w:style w:styleId="Style_15_ch" w:type="character">
    <w:name w:val="ConsPlusDocList"/>
    <w:link w:val="Style_15"/>
    <w:rPr>
      <w:rFonts w:ascii="Tahoma" w:hAnsi="Tahoma"/>
      <w:sz w:val="18"/>
    </w:rPr>
  </w:style>
  <w:style w:styleId="Style_16" w:type="paragraph">
    <w:name w:val="ConsPlusNonformat"/>
    <w:link w:val="Style_16_ch"/>
    <w:pPr>
      <w:widowControl w:val="0"/>
      <w:ind/>
    </w:pPr>
    <w:rPr>
      <w:rFonts w:ascii="Courier New" w:hAnsi="Courier New"/>
      <w:sz w:val="20"/>
    </w:rPr>
  </w:style>
  <w:style w:styleId="Style_16_ch" w:type="character">
    <w:name w:val="ConsPlusNonformat"/>
    <w:link w:val="Style_16"/>
    <w:rPr>
      <w:rFonts w:ascii="Courier New" w:hAnsi="Courier New"/>
      <w:sz w:val="20"/>
    </w:rPr>
  </w:style>
  <w:style w:styleId="Style_17" w:type="paragraph">
    <w:name w:val="ConsPlusTextList"/>
    <w:link w:val="Style_17_ch"/>
    <w:pPr>
      <w:widowControl w:val="0"/>
      <w:ind/>
    </w:pPr>
    <w:rPr>
      <w:rFonts w:ascii="Times New Roman" w:hAnsi="Times New Roman"/>
      <w:sz w:val="24"/>
    </w:rPr>
  </w:style>
  <w:style w:styleId="Style_17_ch" w:type="character">
    <w:name w:val="ConsPlusTextList"/>
    <w:link w:val="Style_17"/>
    <w:rPr>
      <w:rFonts w:ascii="Times New Roman" w:hAnsi="Times New Roman"/>
      <w:sz w:val="24"/>
    </w:rPr>
  </w:style>
  <w:style w:styleId="Style_18" w:type="paragraph">
    <w:name w:val="toc 3"/>
    <w:next w:val="Style_7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ConsPlusJurTerm"/>
    <w:link w:val="Style_19_ch"/>
    <w:pPr>
      <w:widowControl w:val="0"/>
      <w:ind/>
    </w:pPr>
    <w:rPr>
      <w:rFonts w:ascii="Tahoma" w:hAnsi="Tahoma"/>
      <w:sz w:val="26"/>
    </w:rPr>
  </w:style>
  <w:style w:styleId="Style_19_ch" w:type="character">
    <w:name w:val="ConsPlusJurTerm"/>
    <w:link w:val="Style_19"/>
    <w:rPr>
      <w:rFonts w:ascii="Tahoma" w:hAnsi="Tahoma"/>
      <w:sz w:val="26"/>
    </w:rPr>
  </w:style>
  <w:style w:styleId="Style_20" w:type="paragraph">
    <w:name w:val="ConsPlusCell"/>
    <w:link w:val="Style_20_ch"/>
    <w:pPr>
      <w:widowControl w:val="0"/>
      <w:ind/>
    </w:pPr>
    <w:rPr>
      <w:rFonts w:ascii="Courier New" w:hAnsi="Courier New"/>
      <w:sz w:val="20"/>
    </w:rPr>
  </w:style>
  <w:style w:styleId="Style_20_ch" w:type="character">
    <w:name w:val="ConsPlusCell"/>
    <w:link w:val="Style_20"/>
    <w:rPr>
      <w:rFonts w:ascii="Courier New" w:hAnsi="Courier New"/>
      <w:sz w:val="20"/>
    </w:rPr>
  </w:style>
  <w:style w:styleId="Style_21" w:type="paragraph">
    <w:name w:val="heading 5"/>
    <w:next w:val="Style_7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7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7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ConsPlusNonformat"/>
    <w:link w:val="Style_27_ch"/>
    <w:pPr>
      <w:widowControl w:val="0"/>
      <w:ind/>
    </w:pPr>
    <w:rPr>
      <w:rFonts w:ascii="Courier New" w:hAnsi="Courier New"/>
      <w:sz w:val="20"/>
    </w:rPr>
  </w:style>
  <w:style w:styleId="Style_27_ch" w:type="character">
    <w:name w:val="ConsPlusNonformat"/>
    <w:link w:val="Style_27"/>
    <w:rPr>
      <w:rFonts w:ascii="Courier New" w:hAnsi="Courier New"/>
      <w:sz w:val="20"/>
    </w:rPr>
  </w:style>
  <w:style w:styleId="Style_28" w:type="paragraph">
    <w:name w:val="toc 9"/>
    <w:next w:val="Style_7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7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ConsPlusTextList"/>
    <w:link w:val="Style_30_ch"/>
    <w:pPr>
      <w:widowControl w:val="0"/>
      <w:ind/>
    </w:pPr>
    <w:rPr>
      <w:rFonts w:ascii="Times New Roman" w:hAnsi="Times New Roman"/>
      <w:sz w:val="24"/>
    </w:rPr>
  </w:style>
  <w:style w:styleId="Style_30_ch" w:type="character">
    <w:name w:val="ConsPlusTextList"/>
    <w:link w:val="Style_30"/>
    <w:rPr>
      <w:rFonts w:ascii="Times New Roman" w:hAnsi="Times New Roman"/>
      <w:sz w:val="24"/>
    </w:rPr>
  </w:style>
  <w:style w:styleId="Style_31" w:type="paragraph">
    <w:name w:val="ConsPlusTitle"/>
    <w:link w:val="Style_31_ch"/>
    <w:pPr>
      <w:widowControl w:val="0"/>
      <w:ind/>
    </w:pPr>
    <w:rPr>
      <w:rFonts w:ascii="Arial" w:hAnsi="Arial"/>
      <w:b w:val="1"/>
      <w:sz w:val="24"/>
    </w:rPr>
  </w:style>
  <w:style w:styleId="Style_31_ch" w:type="character">
    <w:name w:val="ConsPlusTitle"/>
    <w:link w:val="Style_31"/>
    <w:rPr>
      <w:rFonts w:ascii="Arial" w:hAnsi="Arial"/>
      <w:b w:val="1"/>
      <w:sz w:val="24"/>
    </w:rPr>
  </w:style>
  <w:style w:styleId="Style_32" w:type="paragraph">
    <w:name w:val="toc 5"/>
    <w:next w:val="Style_7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ConsPlusTextList"/>
    <w:link w:val="Style_33_ch"/>
    <w:pPr>
      <w:widowControl w:val="0"/>
      <w:ind/>
    </w:pPr>
    <w:rPr>
      <w:rFonts w:ascii="Times New Roman" w:hAnsi="Times New Roman"/>
      <w:sz w:val="24"/>
    </w:rPr>
  </w:style>
  <w:style w:styleId="Style_33_ch" w:type="character">
    <w:name w:val="ConsPlusTextList"/>
    <w:link w:val="Style_33"/>
    <w:rPr>
      <w:rFonts w:ascii="Times New Roman" w:hAnsi="Times New Roman"/>
      <w:sz w:val="24"/>
    </w:rPr>
  </w:style>
  <w:style w:styleId="Style_34" w:type="paragraph">
    <w:name w:val="ConsPlusJurTerm"/>
    <w:link w:val="Style_34_ch"/>
    <w:pPr>
      <w:widowControl w:val="0"/>
      <w:ind/>
    </w:pPr>
    <w:rPr>
      <w:rFonts w:ascii="Tahoma" w:hAnsi="Tahoma"/>
      <w:sz w:val="26"/>
    </w:rPr>
  </w:style>
  <w:style w:styleId="Style_34_ch" w:type="character">
    <w:name w:val="ConsPlusJurTerm"/>
    <w:link w:val="Style_34"/>
    <w:rPr>
      <w:rFonts w:ascii="Tahoma" w:hAnsi="Tahoma"/>
      <w:sz w:val="26"/>
    </w:rPr>
  </w:style>
  <w:style w:styleId="Style_35" w:type="paragraph">
    <w:name w:val="Subtitle"/>
    <w:next w:val="Style_7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next w:val="Style_7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7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ConsPlusDocList"/>
    <w:link w:val="Style_38_ch"/>
    <w:pPr>
      <w:widowControl w:val="0"/>
      <w:ind/>
    </w:pPr>
    <w:rPr>
      <w:rFonts w:ascii="Tahoma" w:hAnsi="Tahoma"/>
      <w:sz w:val="18"/>
    </w:rPr>
  </w:style>
  <w:style w:styleId="Style_38_ch" w:type="character">
    <w:name w:val="ConsPlusDocList"/>
    <w:link w:val="Style_38"/>
    <w:rPr>
      <w:rFonts w:ascii="Tahoma" w:hAnsi="Tahoma"/>
      <w:sz w:val="18"/>
    </w:rPr>
  </w:style>
  <w:style w:styleId="Style_39" w:type="paragraph">
    <w:name w:val="heading 2"/>
    <w:next w:val="Style_7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40" w:type="paragraph">
    <w:name w:val="ConsPlusTextList"/>
    <w:link w:val="Style_40_ch"/>
    <w:pPr>
      <w:widowControl w:val="0"/>
      <w:ind/>
    </w:pPr>
    <w:rPr>
      <w:rFonts w:ascii="Times New Roman" w:hAnsi="Times New Roman"/>
      <w:sz w:val="24"/>
    </w:rPr>
  </w:style>
  <w:style w:styleId="Style_40_ch" w:type="character">
    <w:name w:val="ConsPlusTextList"/>
    <w:link w:val="Style_40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2026-08-21T07:08:19Z</dcterms:created>
  <dcterms:modified xsi:type="dcterms:W3CDTF">2026-08-21T07:08:19Z</dcterms:modified>
</cp:coreProperties>
</file>