
<file path=[Content_Types].xml><?xml version="1.0" encoding="utf-8"?>
<Types xmlns="http://schemas.openxmlformats.org/package/2006/content-types">
  <Default ContentType="image/png" Extension="png"/>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2.xml"/>
  <Override ContentType="application/vnd.openxmlformats-officedocument.wordprocessingml.footer+xml" PartName="/word/footer4.xml"/>
  <Override ContentType="application/vnd.openxmlformats-officedocument.wordprocessingml.header+xml" PartName="/word/header1.xml"/>
  <Override ContentType="application/vnd.openxmlformats-officedocument.wordprocessingml.header+xml" PartName="/word/header3.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tbl>
      <w:tblPr>
        <w:tblW w:type="auto" w:w="0"/>
        <w:tblInd w:type="dxa" w:w="0"/>
        <w:tblBorders>
          <w:top w:sz="4" w:val="nil"/>
          <w:left w:sz="4" w:val="nil"/>
          <w:bottom w:sz="4" w:val="nil"/>
          <w:right w:sz="4" w:val="nil"/>
          <w:insideH w:sz="4" w:val="nil"/>
          <w:insideV w:sz="4" w:val="nil"/>
        </w:tblBorders>
        <w:tblLayout w:type="fixed"/>
      </w:tblPr>
      <w:tblGrid>
        <w:gridCol w:w="10716"/>
      </w:tblGrid>
      <w:tr>
        <w:trPr>
          <w:trHeight w:hRule="exact" w:val="3031"/>
        </w:trPr>
        <w:tc>
          <w:tcPr>
            <w:tcW w:type="dxa" w:w="10716"/>
            <w:tcBorders>
              <w:top w:sz="4" w:val="nil"/>
              <w:left w:sz="4" w:val="nil"/>
              <w:bottom w:sz="4" w:val="nil"/>
              <w:right w:sz="4" w:val="nil"/>
            </w:tcBorders>
            <w:tcMar>
              <w:top w:type="dxa" w:w="60"/>
              <w:left w:type="dxa" w:w="80"/>
              <w:bottom w:type="dxa" w:w="60"/>
              <w:right w:type="dxa" w:w="80"/>
            </w:tcMar>
          </w:tcPr>
          <w:p w14:paraId="13000000">
            <w:pPr>
              <w:pStyle w:val="Style_1"/>
            </w:pPr>
            <w:r>
              <w:drawing>
                <wp:inline>
                  <wp:extent cx="3810000" cy="904875"/>
                  <wp:effectExtent b="0" l="0" r="0" t="0"/>
                  <wp:docPr hidden="false" id="1" name="Picture 1"/>
                  <a:graphic>
                    <a:graphicData uri="http://schemas.openxmlformats.org/drawingml/2006/picture">
                      <pic:pic>
                        <pic:nvPicPr>
                          <pic:cNvPr hidden="false" id="2" name="Picture 2"/>
                          <pic:cNvPicPr preferRelativeResize="true"/>
                        </pic:nvPicPr>
                        <pic:blipFill>
                          <a:blip r:embed="rId5"/>
                          <a:srcRect b="0" l="0" r="0" t="0"/>
                          <a:stretch/>
                        </pic:blipFill>
                        <pic:spPr>
                          <a:xfrm flipH="false" flipV="false" rot="0">
                            <a:ext cx="3810000" cy="904875"/>
                          </a:xfrm>
                          <a:prstGeom prst="rect"/>
                        </pic:spPr>
                      </pic:pic>
                    </a:graphicData>
                  </a:graphic>
                </wp:inline>
              </w:drawing>
            </w:r>
          </w:p>
        </w:tc>
      </w:tr>
      <w:tr>
        <w:trPr>
          <w:trHeight w:hRule="exact" w:val="8335"/>
        </w:trPr>
        <w:tc>
          <w:tcPr>
            <w:tcW w:type="dxa" w:w="10716"/>
            <w:tcBorders>
              <w:top w:sz="4" w:val="nil"/>
              <w:left w:sz="4" w:val="nil"/>
              <w:bottom w:sz="4" w:val="nil"/>
              <w:right w:sz="4" w:val="nil"/>
            </w:tcBorders>
            <w:tcMar>
              <w:top w:type="dxa" w:w="60"/>
              <w:left w:type="dxa" w:w="80"/>
              <w:bottom w:type="dxa" w:w="60"/>
              <w:right w:type="dxa" w:w="80"/>
            </w:tcMar>
            <w:vAlign w:val="center"/>
          </w:tcPr>
          <w:p w14:paraId="14000000">
            <w:pPr>
              <w:pStyle w:val="Style_1"/>
              <w:widowControl w:val="1"/>
              <w:ind/>
              <w:jc w:val="center"/>
            </w:pPr>
            <w:r>
              <w:rPr>
                <w:sz w:val="48"/>
              </w:rPr>
              <w:t>Указ Президента РФ от 25.01.2024 N 71</w:t>
            </w:r>
            <w:r>
              <w:rPr>
                <w:sz w:val="48"/>
              </w:rPr>
              <w:br/>
            </w:r>
            <w:r>
              <w:rPr>
                <w:sz w:val="48"/>
              </w:rPr>
              <w:t>"О внесении изменений в некоторые акты Президента Российской Федерации"</w:t>
            </w:r>
          </w:p>
        </w:tc>
      </w:tr>
      <w:tr>
        <w:trPr>
          <w:trHeight w:hRule="exact" w:val="3031"/>
        </w:trPr>
        <w:tc>
          <w:tcPr>
            <w:tcW w:type="dxa" w:w="10716"/>
            <w:tcBorders>
              <w:top w:sz="4" w:val="nil"/>
              <w:left w:sz="4" w:val="nil"/>
              <w:bottom w:sz="4" w:val="nil"/>
              <w:right w:sz="4" w:val="nil"/>
            </w:tcBorders>
            <w:tcMar>
              <w:top w:type="dxa" w:w="60"/>
              <w:left w:type="dxa" w:w="80"/>
              <w:bottom w:type="dxa" w:w="60"/>
              <w:right w:type="dxa" w:w="80"/>
            </w:tcMar>
            <w:vAlign w:val="center"/>
          </w:tcPr>
          <w:p w14:paraId="15000000">
            <w:pPr>
              <w:pStyle w:val="Style_1"/>
              <w:widowControl w:val="1"/>
              <w:ind/>
              <w:jc w:val="center"/>
            </w:pPr>
            <w:r>
              <w:rPr>
                <w:sz w:val="28"/>
              </w:rPr>
              <w:t xml:space="preserve">Документ предоставлен </w:t>
            </w:r>
            <w:r>
              <w:rPr>
                <w:b w:val="1"/>
                <w:color w:val="0000FF"/>
                <w:sz w:val="28"/>
              </w:rPr>
              <w:fldChar w:fldCharType="begin"/>
            </w:r>
            <w:r>
              <w:rPr>
                <w:b w:val="1"/>
                <w:color w:val="0000FF"/>
                <w:sz w:val="28"/>
              </w:rPr>
              <w:instrText>HYPERLINK "https://www.consultant.ru" \o "Ссылка на КонсультантПлюс"</w:instrText>
            </w:r>
            <w:r>
              <w:rPr>
                <w:b w:val="1"/>
                <w:color w:val="0000FF"/>
                <w:sz w:val="28"/>
              </w:rPr>
              <w:fldChar w:fldCharType="separate"/>
            </w:r>
            <w:r>
              <w:rPr>
                <w:b w:val="1"/>
                <w:color w:val="0000FF"/>
                <w:sz w:val="28"/>
              </w:rPr>
              <w:t>КонсультантПлюс</w:t>
            </w:r>
            <w:r>
              <w:rPr>
                <w:b w:val="1"/>
                <w:color w:val="0000FF"/>
                <w:sz w:val="28"/>
              </w:rPr>
              <w:br/>
            </w:r>
            <w:r>
              <w:rPr>
                <w:b w:val="1"/>
                <w:color w:val="0000FF"/>
                <w:sz w:val="28"/>
              </w:rPr>
              <w:br/>
            </w:r>
            <w:r>
              <w:rPr>
                <w:b w:val="1"/>
                <w:color w:val="0000FF"/>
                <w:sz w:val="28"/>
              </w:rPr>
              <w:t>www.consultant.ru</w:t>
            </w:r>
            <w:r>
              <w:rPr>
                <w:b w:val="1"/>
                <w:color w:val="0000FF"/>
                <w:sz w:val="28"/>
              </w:rPr>
              <w:fldChar w:fldCharType="end"/>
            </w:r>
            <w:r>
              <w:rPr>
                <w:sz w:val="28"/>
              </w:rPr>
              <w:br/>
            </w:r>
            <w:r>
              <w:rPr>
                <w:sz w:val="28"/>
              </w:rPr>
              <w:br/>
            </w:r>
            <w:r>
              <w:rPr>
                <w:sz w:val="28"/>
              </w:rPr>
              <w:t>Дата сохранения: 21.08.2026</w:t>
            </w:r>
            <w:r>
              <w:rPr>
                <w:sz w:val="28"/>
              </w:rPr>
              <w:br/>
            </w:r>
            <w:r>
              <w:rPr>
                <w:sz w:val="28"/>
              </w:rPr>
              <w:t> </w:t>
            </w:r>
          </w:p>
        </w:tc>
      </w:tr>
    </w:tbl>
    <w:p w14:paraId="16000000">
      <w:pPr>
        <w:sectPr>
          <w:pgSz w:h="16838" w:orient="portrait" w:w="11906"/>
          <w:pgMar w:bottom="841" w:footer="0" w:gutter="0" w:header="0" w:left="595" w:right="595" w:top="841"/>
          <w:titlePg/>
        </w:sectPr>
      </w:pPr>
    </w:p>
    <w:p w14:paraId="17000000">
      <w:pPr>
        <w:pStyle w:val="Style_2"/>
        <w:widowControl w:val="1"/>
        <w:ind/>
        <w:jc w:val="both"/>
        <w:outlineLvl w:val="0"/>
      </w:pPr>
    </w:p>
    <w:tbl>
      <w:tblPr>
        <w:tblW w:type="auto" w:w="0"/>
        <w:tblInd w:type="dxa" w:w="0"/>
        <w:tblBorders>
          <w:top w:sz="8" w:val="single"/>
          <w:left w:sz="8" w:val="single"/>
          <w:bottom w:sz="8" w:val="single"/>
          <w:right w:sz="8" w:val="single"/>
          <w:insideH w:sz="8" w:val="single"/>
          <w:insideV w:sz="8" w:val="single"/>
        </w:tblBorders>
        <w:tblLayout w:type="fixed"/>
        <w:tblCellMar>
          <w:top w:type="dxa" w:w="0"/>
          <w:left w:type="dxa" w:w="0"/>
          <w:bottom w:type="dxa" w:w="0"/>
          <w:right w:type="dxa" w:w="0"/>
        </w:tblCellMar>
      </w:tblPr>
      <w:tblGrid>
        <w:gridCol w:w="5103"/>
        <w:gridCol w:w="5103"/>
      </w:tblGrid>
      <w:tr>
        <w:tc>
          <w:tcPr>
            <w:tcW w:type="dxa" w:w="5103"/>
            <w:tcBorders>
              <w:top w:sz="4" w:val="nil"/>
              <w:left w:sz="4" w:val="nil"/>
              <w:bottom w:sz="4" w:val="nil"/>
              <w:right w:sz="4" w:val="nil"/>
            </w:tcBorders>
            <w:tcMar>
              <w:top w:type="dxa" w:w="0"/>
              <w:left w:type="dxa" w:w="0"/>
              <w:bottom w:type="dxa" w:w="0"/>
              <w:right w:type="dxa" w:w="0"/>
            </w:tcMar>
          </w:tcPr>
          <w:p w14:paraId="18000000">
            <w:pPr>
              <w:pStyle w:val="Style_2"/>
              <w:widowControl w:val="1"/>
              <w:ind/>
              <w:outlineLvl w:val="0"/>
            </w:pPr>
            <w:r>
              <w:rPr>
                <w:sz w:val="24"/>
              </w:rPr>
              <w:t>25 января 2024 года</w:t>
            </w:r>
          </w:p>
        </w:tc>
        <w:tc>
          <w:tcPr>
            <w:tcW w:type="dxa" w:w="5103"/>
            <w:tcBorders>
              <w:top w:sz="4" w:val="nil"/>
              <w:left w:sz="4" w:val="nil"/>
              <w:bottom w:sz="4" w:val="nil"/>
              <w:right w:sz="4" w:val="nil"/>
            </w:tcBorders>
            <w:tcMar>
              <w:top w:type="dxa" w:w="0"/>
              <w:left w:type="dxa" w:w="0"/>
              <w:bottom w:type="dxa" w:w="0"/>
              <w:right w:type="dxa" w:w="0"/>
            </w:tcMar>
          </w:tcPr>
          <w:p w14:paraId="19000000">
            <w:pPr>
              <w:pStyle w:val="Style_2"/>
              <w:widowControl w:val="1"/>
              <w:ind/>
              <w:jc w:val="right"/>
              <w:outlineLvl w:val="0"/>
            </w:pPr>
            <w:r>
              <w:rPr>
                <w:sz w:val="24"/>
              </w:rPr>
              <w:t>N 71</w:t>
            </w:r>
          </w:p>
        </w:tc>
      </w:tr>
    </w:tbl>
    <w:p w14:paraId="1A000000">
      <w:pPr>
        <w:pStyle w:val="Style_2"/>
        <w:widowControl w:val="1"/>
        <w:pBdr>
          <w:bottom w:color="000000" w:space="0" w:sz="6" w:val="single"/>
        </w:pBdr>
        <w:spacing w:after="100" w:before="100"/>
        <w:ind/>
        <w:jc w:val="both"/>
        <w:rPr>
          <w:sz w:val="2"/>
        </w:rPr>
      </w:pPr>
    </w:p>
    <w:p w14:paraId="1B000000">
      <w:pPr>
        <w:pStyle w:val="Style_2"/>
        <w:widowControl w:val="1"/>
        <w:ind/>
        <w:jc w:val="both"/>
      </w:pPr>
    </w:p>
    <w:p w14:paraId="1C000000">
      <w:pPr>
        <w:pStyle w:val="Style_3"/>
        <w:widowControl w:val="1"/>
        <w:ind/>
        <w:jc w:val="center"/>
      </w:pPr>
      <w:r>
        <w:rPr>
          <w:sz w:val="24"/>
        </w:rPr>
        <w:t>УКАЗ</w:t>
      </w:r>
    </w:p>
    <w:p w14:paraId="1D000000">
      <w:pPr>
        <w:pStyle w:val="Style_3"/>
        <w:widowControl w:val="1"/>
        <w:ind/>
        <w:jc w:val="center"/>
      </w:pPr>
    </w:p>
    <w:p w14:paraId="1E000000">
      <w:pPr>
        <w:pStyle w:val="Style_3"/>
        <w:widowControl w:val="1"/>
        <w:ind/>
        <w:jc w:val="center"/>
      </w:pPr>
      <w:r>
        <w:rPr>
          <w:sz w:val="24"/>
        </w:rPr>
        <w:t>ПРЕЗИДЕНТА РОССИЙСКОЙ ФЕДЕРАЦИИ</w:t>
      </w:r>
    </w:p>
    <w:p w14:paraId="1F000000">
      <w:pPr>
        <w:pStyle w:val="Style_3"/>
        <w:widowControl w:val="1"/>
        <w:ind/>
        <w:jc w:val="center"/>
      </w:pPr>
    </w:p>
    <w:p w14:paraId="20000000">
      <w:pPr>
        <w:pStyle w:val="Style_3"/>
        <w:widowControl w:val="1"/>
        <w:ind/>
        <w:jc w:val="center"/>
      </w:pPr>
      <w:r>
        <w:rPr>
          <w:sz w:val="24"/>
        </w:rPr>
        <w:t>О ВНЕСЕНИИ ИЗМЕНЕНИЙ</w:t>
      </w:r>
    </w:p>
    <w:p w14:paraId="21000000">
      <w:pPr>
        <w:pStyle w:val="Style_3"/>
        <w:widowControl w:val="1"/>
        <w:ind/>
        <w:jc w:val="center"/>
      </w:pPr>
      <w:r>
        <w:rPr>
          <w:sz w:val="24"/>
        </w:rPr>
        <w:t>В НЕКОТОРЫЕ АКТЫ ПРЕЗИДЕНТА РОССИЙСКОЙ ФЕДЕРАЦИИ</w:t>
      </w:r>
    </w:p>
    <w:p w14:paraId="22000000">
      <w:pPr>
        <w:pStyle w:val="Style_2"/>
        <w:widowControl w:val="1"/>
        <w:ind/>
        <w:jc w:val="center"/>
      </w:pPr>
    </w:p>
    <w:p w14:paraId="23000000">
      <w:pPr>
        <w:pStyle w:val="Style_2"/>
        <w:widowControl w:val="1"/>
        <w:ind w:firstLine="540"/>
        <w:jc w:val="both"/>
      </w:pPr>
      <w:r>
        <w:rPr>
          <w:sz w:val="24"/>
        </w:rPr>
        <w:t xml:space="preserve">1. Внести в акты Президента Российской Федерации изменения по перечню согласно </w:t>
      </w:r>
      <w:r>
        <w:rPr>
          <w:color w:val="0000FF"/>
          <w:sz w:val="24"/>
        </w:rPr>
        <w:fldChar w:fldCharType="begin"/>
      </w:r>
      <w:r>
        <w:rPr>
          <w:color w:val="0000FF"/>
          <w:sz w:val="24"/>
        </w:rPr>
        <w:instrText>HYPERLINK \l "P30" \o "ПЕРЕЧЕНЬ"</w:instrText>
      </w:r>
      <w:r>
        <w:rPr>
          <w:color w:val="0000FF"/>
          <w:sz w:val="24"/>
        </w:rPr>
        <w:fldChar w:fldCharType="separate"/>
      </w:r>
      <w:r>
        <w:rPr>
          <w:color w:val="0000FF"/>
          <w:sz w:val="24"/>
        </w:rPr>
        <w:t>приложению</w:t>
      </w:r>
      <w:r>
        <w:rPr>
          <w:color w:val="0000FF"/>
          <w:sz w:val="24"/>
        </w:rPr>
        <w:fldChar w:fldCharType="end"/>
      </w:r>
      <w:r>
        <w:rPr>
          <w:sz w:val="24"/>
        </w:rPr>
        <w:t>.</w:t>
      </w:r>
    </w:p>
    <w:p w14:paraId="24000000">
      <w:pPr>
        <w:pStyle w:val="Style_2"/>
        <w:widowControl w:val="1"/>
        <w:spacing w:before="240"/>
        <w:ind w:firstLine="540"/>
        <w:jc w:val="both"/>
      </w:pPr>
      <w:r>
        <w:rPr>
          <w:sz w:val="24"/>
        </w:rPr>
        <w:t>2. Настоящий Указ вступает в силу со дня его подписания.</w:t>
      </w:r>
    </w:p>
    <w:p w14:paraId="25000000">
      <w:pPr>
        <w:pStyle w:val="Style_2"/>
        <w:widowControl w:val="1"/>
        <w:ind w:firstLine="540"/>
        <w:jc w:val="both"/>
      </w:pPr>
    </w:p>
    <w:p w14:paraId="26000000">
      <w:pPr>
        <w:pStyle w:val="Style_2"/>
        <w:widowControl w:val="1"/>
        <w:ind/>
        <w:jc w:val="right"/>
      </w:pPr>
      <w:r>
        <w:rPr>
          <w:sz w:val="24"/>
        </w:rPr>
        <w:t>Президент</w:t>
      </w:r>
    </w:p>
    <w:p w14:paraId="27000000">
      <w:pPr>
        <w:pStyle w:val="Style_2"/>
        <w:widowControl w:val="1"/>
        <w:ind/>
        <w:jc w:val="right"/>
      </w:pPr>
      <w:r>
        <w:rPr>
          <w:sz w:val="24"/>
        </w:rPr>
        <w:t>Российской Федерации</w:t>
      </w:r>
    </w:p>
    <w:p w14:paraId="28000000">
      <w:pPr>
        <w:pStyle w:val="Style_2"/>
        <w:widowControl w:val="1"/>
        <w:ind/>
        <w:jc w:val="right"/>
      </w:pPr>
      <w:r>
        <w:rPr>
          <w:sz w:val="24"/>
        </w:rPr>
        <w:t>В.ПУТИН</w:t>
      </w:r>
    </w:p>
    <w:p w14:paraId="29000000">
      <w:pPr>
        <w:pStyle w:val="Style_2"/>
      </w:pPr>
      <w:r>
        <w:rPr>
          <w:sz w:val="24"/>
        </w:rPr>
        <w:t>Москва, Кремль</w:t>
      </w:r>
    </w:p>
    <w:p w14:paraId="2A000000">
      <w:pPr>
        <w:pStyle w:val="Style_2"/>
        <w:widowControl w:val="1"/>
        <w:spacing w:before="240"/>
        <w:ind/>
      </w:pPr>
      <w:r>
        <w:rPr>
          <w:sz w:val="24"/>
        </w:rPr>
        <w:t>25 января 2024 года</w:t>
      </w:r>
    </w:p>
    <w:p w14:paraId="2B000000">
      <w:pPr>
        <w:pStyle w:val="Style_2"/>
        <w:widowControl w:val="1"/>
        <w:spacing w:before="240"/>
        <w:ind/>
      </w:pPr>
      <w:r>
        <w:rPr>
          <w:sz w:val="24"/>
        </w:rPr>
        <w:t>N 71</w:t>
      </w:r>
    </w:p>
    <w:p w14:paraId="2C000000">
      <w:pPr>
        <w:pStyle w:val="Style_2"/>
        <w:widowControl w:val="1"/>
        <w:ind w:firstLine="540"/>
        <w:jc w:val="both"/>
      </w:pPr>
    </w:p>
    <w:p w14:paraId="2D000000">
      <w:pPr>
        <w:pStyle w:val="Style_2"/>
        <w:widowControl w:val="1"/>
        <w:ind w:firstLine="540"/>
        <w:jc w:val="both"/>
      </w:pPr>
    </w:p>
    <w:p w14:paraId="2E000000">
      <w:pPr>
        <w:pStyle w:val="Style_2"/>
        <w:widowControl w:val="1"/>
        <w:ind w:firstLine="540"/>
        <w:jc w:val="both"/>
      </w:pPr>
    </w:p>
    <w:p w14:paraId="2F000000">
      <w:pPr>
        <w:pStyle w:val="Style_2"/>
        <w:widowControl w:val="1"/>
        <w:ind w:firstLine="540"/>
        <w:jc w:val="both"/>
      </w:pPr>
    </w:p>
    <w:p w14:paraId="30000000">
      <w:pPr>
        <w:pStyle w:val="Style_2"/>
        <w:widowControl w:val="1"/>
        <w:ind w:firstLine="540"/>
        <w:jc w:val="both"/>
      </w:pPr>
    </w:p>
    <w:p w14:paraId="31000000">
      <w:pPr>
        <w:pStyle w:val="Style_2"/>
        <w:widowControl w:val="1"/>
        <w:ind/>
        <w:jc w:val="right"/>
        <w:outlineLvl w:val="0"/>
      </w:pPr>
      <w:r>
        <w:rPr>
          <w:sz w:val="24"/>
        </w:rPr>
        <w:t>Приложение</w:t>
      </w:r>
    </w:p>
    <w:p w14:paraId="32000000">
      <w:pPr>
        <w:pStyle w:val="Style_2"/>
        <w:widowControl w:val="1"/>
        <w:ind/>
        <w:jc w:val="right"/>
      </w:pPr>
      <w:r>
        <w:rPr>
          <w:sz w:val="24"/>
        </w:rPr>
        <w:t>к Указу Президента</w:t>
      </w:r>
    </w:p>
    <w:p w14:paraId="33000000">
      <w:pPr>
        <w:pStyle w:val="Style_2"/>
        <w:widowControl w:val="1"/>
        <w:ind/>
        <w:jc w:val="right"/>
      </w:pPr>
      <w:r>
        <w:rPr>
          <w:sz w:val="24"/>
        </w:rPr>
        <w:t>Российской Федерации</w:t>
      </w:r>
    </w:p>
    <w:p w14:paraId="34000000">
      <w:pPr>
        <w:pStyle w:val="Style_2"/>
        <w:widowControl w:val="1"/>
        <w:ind/>
        <w:jc w:val="right"/>
      </w:pPr>
      <w:r>
        <w:rPr>
          <w:sz w:val="24"/>
        </w:rPr>
        <w:t>от 25 января 2024 г. N 71</w:t>
      </w:r>
    </w:p>
    <w:p w14:paraId="35000000">
      <w:pPr>
        <w:pStyle w:val="Style_2"/>
        <w:widowControl w:val="1"/>
        <w:ind w:firstLine="540"/>
        <w:jc w:val="both"/>
      </w:pPr>
    </w:p>
    <w:p w14:paraId="36000000">
      <w:pPr>
        <w:pStyle w:val="Style_3"/>
        <w:widowControl w:val="1"/>
        <w:ind/>
        <w:jc w:val="center"/>
      </w:pPr>
      <w:bookmarkStart w:id="1" w:name="P30"/>
      <w:bookmarkEnd w:id="1"/>
      <w:r>
        <w:rPr>
          <w:sz w:val="24"/>
        </w:rPr>
        <w:t>ПЕРЕЧЕНЬ</w:t>
      </w:r>
    </w:p>
    <w:p w14:paraId="37000000">
      <w:pPr>
        <w:pStyle w:val="Style_3"/>
        <w:widowControl w:val="1"/>
        <w:ind/>
        <w:jc w:val="center"/>
      </w:pPr>
      <w:r>
        <w:rPr>
          <w:sz w:val="24"/>
        </w:rPr>
        <w:t>ИЗМЕНЕНИЙ, ВНОСИМЫХ В АКТЫ ПРЕЗИДЕНТА РОССИЙСКОЙ ФЕДЕРАЦИИ</w:t>
      </w:r>
    </w:p>
    <w:p w14:paraId="38000000">
      <w:pPr>
        <w:pStyle w:val="Style_2"/>
        <w:widowControl w:val="1"/>
        <w:ind w:firstLine="540"/>
        <w:jc w:val="both"/>
      </w:pPr>
    </w:p>
    <w:p w14:paraId="39000000">
      <w:pPr>
        <w:pStyle w:val="Style_2"/>
        <w:widowControl w:val="1"/>
        <w:ind w:firstLine="540"/>
        <w:jc w:val="both"/>
      </w:pPr>
      <w:r>
        <w:rPr>
          <w:sz w:val="24"/>
        </w:rPr>
        <w:t xml:space="preserve">1. В </w:t>
      </w:r>
      <w:r>
        <w:rPr>
          <w:sz w:val="24"/>
        </w:rPr>
        <w:t>подпункте "а" пункта 7</w:t>
      </w:r>
      <w:r>
        <w:rPr>
          <w:sz w:val="24"/>
        </w:rPr>
        <w:t xml:space="preserve"> Указа Президента Российской Федерации от 19 мая 2008 г. N 815 "О мерах по противодействию коррупции" (Собрание законодательства Российской Федерации, 2008, N 21, ст. 2429; 2010, N 27, ст. 3446; 2012, N 32, ст. 4481; 2013, N 14, ст. 1670; 2014, N 7, ст. 672; 2017, N 42, ст. 6137; 2019, N 20, ст. 2422; 2021, N 21, ст. 3555):</w:t>
      </w:r>
    </w:p>
    <w:p w14:paraId="3A000000">
      <w:pPr>
        <w:pStyle w:val="Style_2"/>
        <w:widowControl w:val="1"/>
        <w:spacing w:before="240"/>
        <w:ind w:firstLine="540"/>
        <w:jc w:val="both"/>
      </w:pPr>
      <w:r>
        <w:rPr>
          <w:sz w:val="24"/>
        </w:rPr>
        <w:t xml:space="preserve">а) </w:t>
      </w:r>
      <w:r>
        <w:rPr>
          <w:sz w:val="24"/>
        </w:rPr>
        <w:t>абзац пятый</w:t>
      </w:r>
      <w:r>
        <w:rPr>
          <w:sz w:val="24"/>
        </w:rPr>
        <w:t xml:space="preserve"> изложить в следующей редакции:</w:t>
      </w:r>
    </w:p>
    <w:p w14:paraId="3B000000">
      <w:pPr>
        <w:pStyle w:val="Style_2"/>
        <w:widowControl w:val="1"/>
        <w:spacing w:before="240"/>
        <w:ind w:firstLine="540"/>
        <w:jc w:val="both"/>
      </w:pPr>
      <w:r>
        <w:rPr>
          <w:sz w:val="24"/>
        </w:rPr>
        <w:t xml:space="preserve">"рассматривает вопросы, касающиеся соблюдения ограничений и запретов, требований о предотвращении или об урегулировании конфликта интересов, исполнения обязанностей, установленных Федеральным </w:t>
      </w:r>
      <w:r>
        <w:rPr>
          <w:sz w:val="24"/>
        </w:rPr>
        <w:t>законом</w:t>
      </w:r>
      <w:r>
        <w:rPr>
          <w:sz w:val="24"/>
        </w:rPr>
        <w:t xml:space="preserve"> от 25 декабря 2008 г. N 273-ФЗ "О противодействии коррупции", другими федеральными законами в целях противодействия коррупции (далее - требования к служебному (должностному) поведению и (или) требования об урегулировании конфликта интересов), лицами, замещающими государственные должности Российской Федерации, названные в </w:t>
      </w:r>
      <w:r>
        <w:rPr>
          <w:sz w:val="24"/>
        </w:rPr>
        <w:t>подпункте "а" пункта 1</w:t>
      </w:r>
      <w:r>
        <w:rPr>
          <w:sz w:val="24"/>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должности федеральной государственной службы, назначение на которые и освобождение от которых осуществляются Президентом Российской Федерации 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w:t>
      </w:r>
    </w:p>
    <w:p w14:paraId="3C000000">
      <w:pPr>
        <w:pStyle w:val="Style_2"/>
        <w:widowControl w:val="1"/>
        <w:spacing w:before="240"/>
        <w:ind w:firstLine="540"/>
        <w:jc w:val="both"/>
      </w:pPr>
      <w:r>
        <w:rPr>
          <w:sz w:val="24"/>
        </w:rPr>
        <w:t xml:space="preserve">б) </w:t>
      </w:r>
      <w:r>
        <w:rPr>
          <w:sz w:val="24"/>
        </w:rPr>
        <w:t>абзац шестой</w:t>
      </w:r>
      <w:r>
        <w:rPr>
          <w:sz w:val="24"/>
        </w:rPr>
        <w:t xml:space="preserve"> изложить в следующей редакции:</w:t>
      </w:r>
    </w:p>
    <w:p w14:paraId="3D000000">
      <w:pPr>
        <w:pStyle w:val="Style_2"/>
        <w:widowControl w:val="1"/>
        <w:spacing w:before="240"/>
        <w:ind w:firstLine="540"/>
        <w:jc w:val="both"/>
      </w:pPr>
      <w:r>
        <w:rPr>
          <w:sz w:val="24"/>
        </w:rPr>
        <w:t>"по решению Президента Российской Федерации или Руководителя Администрации Президента Российской Федерации рассматривает вопросы, касающиеся соблюдения требований к служебному (должностному) поведению и (или) требований об урегулировании конфликта интересов лицами, замещающими любые должности, осуществление полномочий по которым влечет за собой обязанность представлять сведения о доходах, об имуществе и обязательствах имущественного характера;";</w:t>
      </w:r>
    </w:p>
    <w:p w14:paraId="3E000000">
      <w:pPr>
        <w:pStyle w:val="Style_2"/>
        <w:widowControl w:val="1"/>
        <w:spacing w:before="240"/>
        <w:ind w:firstLine="540"/>
        <w:jc w:val="both"/>
      </w:pPr>
      <w:r>
        <w:rPr>
          <w:sz w:val="24"/>
        </w:rPr>
        <w:t xml:space="preserve">в) </w:t>
      </w:r>
      <w:r>
        <w:rPr>
          <w:sz w:val="24"/>
        </w:rPr>
        <w:t>абзац седьмой</w:t>
      </w:r>
      <w:r>
        <w:rPr>
          <w:sz w:val="24"/>
        </w:rPr>
        <w:t xml:space="preserve"> изложить в следующей редакции:</w:t>
      </w:r>
    </w:p>
    <w:p w14:paraId="3F000000">
      <w:pPr>
        <w:pStyle w:val="Style_2"/>
        <w:widowControl w:val="1"/>
        <w:spacing w:before="240"/>
        <w:ind w:firstLine="540"/>
        <w:jc w:val="both"/>
      </w:pPr>
      <w:r>
        <w:rPr>
          <w:sz w:val="24"/>
        </w:rPr>
        <w:t>"рассматривает заявления лиц, замещающих должности атаманов Всероссийского казачьего общества или войскового казачьего общества, внесенных в государственный реестр казачьих обществ в Российской Федерации,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уведомления таких лиц о возникновении не зависящих от них обстоятельств, препятствующих соблюдению требований к служебному (должностному) поведению и (или) требований об урегулировании конфликта интересов;";</w:t>
      </w:r>
    </w:p>
    <w:p w14:paraId="40000000">
      <w:pPr>
        <w:pStyle w:val="Style_2"/>
        <w:widowControl w:val="1"/>
        <w:spacing w:before="240"/>
        <w:ind w:firstLine="540"/>
        <w:jc w:val="both"/>
      </w:pPr>
      <w:r>
        <w:rPr>
          <w:sz w:val="24"/>
        </w:rPr>
        <w:t xml:space="preserve">г) </w:t>
      </w:r>
      <w:r>
        <w:rPr>
          <w:sz w:val="24"/>
        </w:rPr>
        <w:t>абзац восьмой</w:t>
      </w:r>
      <w:r>
        <w:rPr>
          <w:sz w:val="24"/>
        </w:rPr>
        <w:t xml:space="preserve"> изложить в следующей редакции:</w:t>
      </w:r>
    </w:p>
    <w:p w14:paraId="41000000">
      <w:pPr>
        <w:pStyle w:val="Style_2"/>
        <w:widowControl w:val="1"/>
        <w:spacing w:before="240"/>
        <w:ind w:firstLine="540"/>
        <w:jc w:val="both"/>
      </w:pPr>
      <w:r>
        <w:rPr>
          <w:sz w:val="24"/>
        </w:rPr>
        <w:t>"рассматривает заявления лица, замещающего должность главного финансового уполномоченного,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уведомления такого лица о возникновении не зависящих от него обстоятельств, препятствующих соблюдению требований к служебному (должностному) поведению и (или) требований об урегулировании конфликта интересов;".</w:t>
      </w:r>
    </w:p>
    <w:p w14:paraId="42000000">
      <w:pPr>
        <w:pStyle w:val="Style_2"/>
        <w:widowControl w:val="1"/>
        <w:spacing w:before="240"/>
        <w:ind w:firstLine="540"/>
        <w:jc w:val="both"/>
      </w:pPr>
      <w:r>
        <w:rPr>
          <w:sz w:val="24"/>
        </w:rPr>
        <w:t xml:space="preserve">2. В </w:t>
      </w:r>
      <w:r>
        <w:rPr>
          <w:sz w:val="24"/>
        </w:rPr>
        <w:t>Положении</w:t>
      </w:r>
      <w:r>
        <w:rPr>
          <w:sz w:val="24"/>
        </w:rPr>
        <w:t xml:space="preserve"> о комиссиях по соблюдению требований к служебному поведению федеральных государственных служащих и урегулированию конфликта интересов, утвержденном Указом Президента Российской Федерации от 1 июля 2010 г. N 821 "О комиссиях по соблюдению требований к служебному поведению федеральных государственных служащих и урегулированию конфликта интересов" (Собрание законодательства Российской Федерации, 2010, N 27, ст. 3446; 2012, N 12, ст. 1391; 2013, N 14, ст. 1670; N 49, ст. 6399; 2014, N 26, ст. 3518; 2015, N 10, ст. 1506; N 52, ст. 7588; 2017, N 39, ст. 5682; 2022, N 18, ст. 3053; 2023, N 27, ст. 4980):</w:t>
      </w:r>
    </w:p>
    <w:p w14:paraId="43000000">
      <w:pPr>
        <w:pStyle w:val="Style_2"/>
        <w:widowControl w:val="1"/>
        <w:spacing w:before="240"/>
        <w:ind w:firstLine="540"/>
        <w:jc w:val="both"/>
      </w:pPr>
      <w:r>
        <w:rPr>
          <w:sz w:val="24"/>
        </w:rPr>
        <w:t xml:space="preserve">а) </w:t>
      </w:r>
      <w:r>
        <w:rPr>
          <w:sz w:val="24"/>
        </w:rPr>
        <w:t>подпункт "а" пункта 3</w:t>
      </w:r>
      <w:r>
        <w:rPr>
          <w:sz w:val="24"/>
        </w:rPr>
        <w:t xml:space="preserve"> изложить в следующей редакции:</w:t>
      </w:r>
    </w:p>
    <w:p w14:paraId="44000000">
      <w:pPr>
        <w:pStyle w:val="Style_2"/>
        <w:widowControl w:val="1"/>
        <w:spacing w:before="240"/>
        <w:ind w:firstLine="540"/>
        <w:jc w:val="both"/>
      </w:pPr>
      <w:r>
        <w:rPr>
          <w:sz w:val="24"/>
        </w:rPr>
        <w:t xml:space="preserve">"а) в обеспечении соблюдения федеральными государственными служащими (далее - государственные служащие) ограничений и запретов, требований о предотвращении или об урегулировании конфликта интересов, исполнения обязанностей, установленных Федеральным </w:t>
      </w:r>
      <w:r>
        <w:rPr>
          <w:sz w:val="24"/>
        </w:rPr>
        <w:t>законом</w:t>
      </w:r>
      <w:r>
        <w:rPr>
          <w:sz w:val="24"/>
        </w:rPr>
        <w:t xml:space="preserve"> от 25 декабря 2008 г. N 273-ФЗ "О противодействии коррупции", другими федеральными законами в целях противодействия коррупции (далее - требования к служебному поведению и (или) требования об урегулировании конфликта интересов);";</w:t>
      </w:r>
    </w:p>
    <w:p w14:paraId="45000000">
      <w:pPr>
        <w:pStyle w:val="Style_2"/>
        <w:widowControl w:val="1"/>
        <w:spacing w:before="240"/>
        <w:ind w:firstLine="540"/>
        <w:jc w:val="both"/>
      </w:pPr>
      <w:r>
        <w:rPr>
          <w:sz w:val="24"/>
        </w:rPr>
        <w:t xml:space="preserve">б) </w:t>
      </w:r>
      <w:r>
        <w:rPr>
          <w:sz w:val="24"/>
        </w:rPr>
        <w:t>пункт 16</w:t>
      </w:r>
      <w:r>
        <w:rPr>
          <w:sz w:val="24"/>
        </w:rPr>
        <w:t xml:space="preserve"> дополнить подпунктом "е" следующего содержания:</w:t>
      </w:r>
    </w:p>
    <w:p w14:paraId="46000000">
      <w:pPr>
        <w:pStyle w:val="Style_2"/>
        <w:widowControl w:val="1"/>
        <w:spacing w:before="240"/>
        <w:ind w:firstLine="540"/>
        <w:jc w:val="both"/>
      </w:pPr>
      <w:r>
        <w:rPr>
          <w:sz w:val="24"/>
        </w:rPr>
        <w:t>"е) уведомление государственного служащего о возникновении не зависящих от него обстоятельств, препятствующих соблюдению требований к служебному поведению и (или) требований об урегулировании конфликта интересов.";</w:t>
      </w:r>
    </w:p>
    <w:p w14:paraId="47000000">
      <w:pPr>
        <w:pStyle w:val="Style_2"/>
        <w:widowControl w:val="1"/>
        <w:spacing w:before="240"/>
        <w:ind w:firstLine="540"/>
        <w:jc w:val="both"/>
      </w:pPr>
      <w:r>
        <w:rPr>
          <w:sz w:val="24"/>
        </w:rPr>
        <w:t xml:space="preserve">в) </w:t>
      </w:r>
      <w:r>
        <w:rPr>
          <w:sz w:val="24"/>
        </w:rPr>
        <w:t>пункт 17(4)</w:t>
      </w:r>
      <w:r>
        <w:rPr>
          <w:sz w:val="24"/>
        </w:rPr>
        <w:t xml:space="preserve"> изложить в следующей редакции:</w:t>
      </w:r>
    </w:p>
    <w:p w14:paraId="48000000">
      <w:pPr>
        <w:pStyle w:val="Style_2"/>
        <w:widowControl w:val="1"/>
        <w:spacing w:before="240"/>
        <w:ind w:firstLine="540"/>
        <w:jc w:val="both"/>
      </w:pPr>
      <w:r>
        <w:rPr>
          <w:sz w:val="24"/>
        </w:rPr>
        <w:t>"17(4). Уведомления, указанные в абзаце пятом подпункта "б" и подпункте "е" пункта 16 настоящего Положения, рассматриваются подразделением кадровой службы государственного органа по профилактике коррупционных и иных правонарушений, которое осуществляет подготовку мотивированных заключений по результатам рассмотрения уведомлений.";</w:t>
      </w:r>
    </w:p>
    <w:p w14:paraId="49000000">
      <w:pPr>
        <w:pStyle w:val="Style_2"/>
        <w:widowControl w:val="1"/>
        <w:spacing w:before="240"/>
        <w:ind w:firstLine="540"/>
        <w:jc w:val="both"/>
      </w:pPr>
      <w:r>
        <w:rPr>
          <w:sz w:val="24"/>
        </w:rPr>
        <w:t xml:space="preserve">г) в </w:t>
      </w:r>
      <w:r>
        <w:rPr>
          <w:sz w:val="24"/>
        </w:rPr>
        <w:t>пункте 17(5)</w:t>
      </w:r>
      <w:r>
        <w:rPr>
          <w:sz w:val="24"/>
        </w:rPr>
        <w:t xml:space="preserve"> слова "подпункте "д" пункта 16" заменить словами "подпунктах "д" и "е" пункта 16";</w:t>
      </w:r>
    </w:p>
    <w:p w14:paraId="4A000000">
      <w:pPr>
        <w:pStyle w:val="Style_2"/>
        <w:widowControl w:val="1"/>
        <w:spacing w:before="240"/>
        <w:ind w:firstLine="540"/>
        <w:jc w:val="both"/>
      </w:pPr>
      <w:r>
        <w:rPr>
          <w:sz w:val="24"/>
        </w:rPr>
        <w:t xml:space="preserve">д) в </w:t>
      </w:r>
      <w:r>
        <w:rPr>
          <w:sz w:val="24"/>
        </w:rPr>
        <w:t>пункте 17(6)</w:t>
      </w:r>
      <w:r>
        <w:rPr>
          <w:sz w:val="24"/>
        </w:rPr>
        <w:t>:</w:t>
      </w:r>
    </w:p>
    <w:p w14:paraId="4B000000">
      <w:pPr>
        <w:pStyle w:val="Style_2"/>
        <w:widowControl w:val="1"/>
        <w:spacing w:before="240"/>
        <w:ind w:firstLine="540"/>
        <w:jc w:val="both"/>
      </w:pPr>
      <w:r>
        <w:rPr>
          <w:sz w:val="24"/>
        </w:rPr>
        <w:t xml:space="preserve">в </w:t>
      </w:r>
      <w:r>
        <w:rPr>
          <w:sz w:val="24"/>
        </w:rPr>
        <w:t>подпункте "а"</w:t>
      </w:r>
      <w:r>
        <w:rPr>
          <w:sz w:val="24"/>
        </w:rPr>
        <w:t xml:space="preserve"> слова "подпункте "д" пункта 16" заменить словами "подпунктах "д" и "е" пункта 16";</w:t>
      </w:r>
    </w:p>
    <w:p w14:paraId="4C000000">
      <w:pPr>
        <w:pStyle w:val="Style_2"/>
        <w:widowControl w:val="1"/>
        <w:spacing w:before="240"/>
        <w:ind w:firstLine="540"/>
        <w:jc w:val="both"/>
      </w:pPr>
      <w:r>
        <w:rPr>
          <w:sz w:val="24"/>
        </w:rPr>
        <w:t>подпункт "в"</w:t>
      </w:r>
      <w:r>
        <w:rPr>
          <w:sz w:val="24"/>
        </w:rPr>
        <w:t xml:space="preserve"> изложить в следующей редакции:</w:t>
      </w:r>
    </w:p>
    <w:p w14:paraId="4D000000">
      <w:pPr>
        <w:pStyle w:val="Style_2"/>
        <w:widowControl w:val="1"/>
        <w:spacing w:before="240"/>
        <w:ind w:firstLine="540"/>
        <w:jc w:val="both"/>
      </w:pPr>
      <w:r>
        <w:rPr>
          <w:sz w:val="24"/>
        </w:rPr>
        <w:t>"в) мотивированный вывод по результатам предварительного рассмотрения обращений и уведомлений, указанных в абзацах втором и пятом подпункта "б", подпунктах "д" и "е" пункта 16 настоящего Положения, а также рекомендации для принятия одного из решений в соответствии с пунктами 24, 25(3), 25(4), 26(1) настоящего Положения или иного решения.";</w:t>
      </w:r>
    </w:p>
    <w:p w14:paraId="4E000000">
      <w:pPr>
        <w:pStyle w:val="Style_2"/>
        <w:widowControl w:val="1"/>
        <w:spacing w:before="240"/>
        <w:ind w:firstLine="540"/>
        <w:jc w:val="both"/>
      </w:pPr>
      <w:r>
        <w:rPr>
          <w:sz w:val="24"/>
        </w:rPr>
        <w:t xml:space="preserve">е) </w:t>
      </w:r>
      <w:r>
        <w:rPr>
          <w:sz w:val="24"/>
        </w:rPr>
        <w:t>пункт 18(2)</w:t>
      </w:r>
      <w:r>
        <w:rPr>
          <w:sz w:val="24"/>
        </w:rPr>
        <w:t xml:space="preserve"> изложить в следующей редакции:</w:t>
      </w:r>
    </w:p>
    <w:p w14:paraId="4F000000">
      <w:pPr>
        <w:pStyle w:val="Style_2"/>
        <w:widowControl w:val="1"/>
        <w:spacing w:before="240"/>
        <w:ind w:firstLine="540"/>
        <w:jc w:val="both"/>
      </w:pPr>
      <w:r>
        <w:rPr>
          <w:sz w:val="24"/>
        </w:rPr>
        <w:t>"18(2). Уведомления, указанные в подпунктах "д" и "е" пункта 16 настоящего Положения, как правило, рассматриваются на очередном (плановом) заседании комиссии.";</w:t>
      </w:r>
    </w:p>
    <w:p w14:paraId="50000000">
      <w:pPr>
        <w:pStyle w:val="Style_2"/>
        <w:widowControl w:val="1"/>
        <w:spacing w:before="240"/>
        <w:ind w:firstLine="540"/>
        <w:jc w:val="both"/>
      </w:pPr>
      <w:r>
        <w:rPr>
          <w:sz w:val="24"/>
        </w:rPr>
        <w:t xml:space="preserve">ж) в </w:t>
      </w:r>
      <w:r>
        <w:rPr>
          <w:sz w:val="24"/>
        </w:rPr>
        <w:t>пункте 19</w:t>
      </w:r>
      <w:r>
        <w:rPr>
          <w:sz w:val="24"/>
        </w:rPr>
        <w:t xml:space="preserve"> слова "подпунктом "б" пункта 16" заменить словами "подпунктами "б" и "е" пункта 16";</w:t>
      </w:r>
    </w:p>
    <w:p w14:paraId="51000000">
      <w:pPr>
        <w:pStyle w:val="Style_2"/>
        <w:widowControl w:val="1"/>
        <w:spacing w:before="240"/>
        <w:ind w:firstLine="540"/>
        <w:jc w:val="both"/>
      </w:pPr>
      <w:r>
        <w:rPr>
          <w:sz w:val="24"/>
        </w:rPr>
        <w:t xml:space="preserve">з) в </w:t>
      </w:r>
      <w:r>
        <w:rPr>
          <w:sz w:val="24"/>
        </w:rPr>
        <w:t>подпункте "а" пункта 19(1)</w:t>
      </w:r>
      <w:r>
        <w:rPr>
          <w:sz w:val="24"/>
        </w:rPr>
        <w:t xml:space="preserve"> слова "подпунктом "б" пункта 16" заменить словами "подпунктами "б" и "е" пункта 16";</w:t>
      </w:r>
    </w:p>
    <w:p w14:paraId="52000000">
      <w:pPr>
        <w:pStyle w:val="Style_2"/>
        <w:widowControl w:val="1"/>
        <w:spacing w:before="240"/>
        <w:ind w:firstLine="540"/>
        <w:jc w:val="both"/>
      </w:pPr>
      <w:r>
        <w:rPr>
          <w:sz w:val="24"/>
        </w:rPr>
        <w:t xml:space="preserve">и) </w:t>
      </w:r>
      <w:r>
        <w:rPr>
          <w:sz w:val="24"/>
        </w:rPr>
        <w:t>дополнить</w:t>
      </w:r>
      <w:r>
        <w:rPr>
          <w:sz w:val="24"/>
        </w:rPr>
        <w:t xml:space="preserve"> пунктом 25(4) следующего содержания:</w:t>
      </w:r>
    </w:p>
    <w:p w14:paraId="53000000">
      <w:pPr>
        <w:pStyle w:val="Style_2"/>
        <w:widowControl w:val="1"/>
        <w:spacing w:before="240"/>
        <w:ind w:firstLine="540"/>
        <w:jc w:val="both"/>
      </w:pPr>
      <w:r>
        <w:rPr>
          <w:sz w:val="24"/>
        </w:rPr>
        <w:t>"25(4). По итогам рассмотрения вопроса, указанного в подпункте "е" пункта 16 настоящего Положения, комиссия принимает одно из следующих решений:</w:t>
      </w:r>
    </w:p>
    <w:p w14:paraId="54000000">
      <w:pPr>
        <w:pStyle w:val="Style_2"/>
        <w:widowControl w:val="1"/>
        <w:spacing w:before="240"/>
        <w:ind w:firstLine="540"/>
        <w:jc w:val="both"/>
      </w:pPr>
      <w:r>
        <w:rPr>
          <w:sz w:val="24"/>
        </w:rPr>
        <w:t>а) признать наличие причинно-следственной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14:paraId="55000000">
      <w:pPr>
        <w:pStyle w:val="Style_2"/>
        <w:widowControl w:val="1"/>
        <w:spacing w:before="240"/>
        <w:ind w:firstLine="540"/>
        <w:jc w:val="both"/>
      </w:pPr>
      <w:r>
        <w:rPr>
          <w:sz w:val="24"/>
        </w:rPr>
        <w:t>б) признать отсутствие причинно-следственной связи между возникновением не зависящих от государственного служащего обстоятельств и невозможностью соблюдения им требований к служебному поведению и (или) требований об урегулировании конфликта интересов.";</w:t>
      </w:r>
    </w:p>
    <w:p w14:paraId="56000000">
      <w:pPr>
        <w:pStyle w:val="Style_2"/>
        <w:widowControl w:val="1"/>
        <w:spacing w:before="240"/>
        <w:ind w:firstLine="540"/>
        <w:jc w:val="both"/>
      </w:pPr>
      <w:r>
        <w:rPr>
          <w:sz w:val="24"/>
        </w:rPr>
        <w:t xml:space="preserve">к) </w:t>
      </w:r>
      <w:r>
        <w:rPr>
          <w:sz w:val="24"/>
        </w:rPr>
        <w:t>пункт 26</w:t>
      </w:r>
      <w:r>
        <w:rPr>
          <w:sz w:val="24"/>
        </w:rPr>
        <w:t xml:space="preserve"> изложить в следующей редакции:</w:t>
      </w:r>
    </w:p>
    <w:p w14:paraId="57000000">
      <w:pPr>
        <w:pStyle w:val="Style_2"/>
        <w:widowControl w:val="1"/>
        <w:spacing w:before="240"/>
        <w:ind w:firstLine="540"/>
        <w:jc w:val="both"/>
      </w:pPr>
      <w:r>
        <w:rPr>
          <w:sz w:val="24"/>
        </w:rPr>
        <w:t>"26. По итогам рассмотрения вопросов, указанных в подпунктах "а", "б", "г", "д" и "е" пункта 16 настоящего Положения, и при наличии к тому оснований комиссия может принять иное решение, чем это предусмотрено пунктами 22 - 25(4) и 26(1) настоящего Положения. Основания и мотивы принятия такого решения должны быть отражены в протоколе заседания комиссии.".</w:t>
      </w:r>
    </w:p>
    <w:p w14:paraId="58000000">
      <w:pPr>
        <w:pStyle w:val="Style_2"/>
        <w:widowControl w:val="1"/>
        <w:spacing w:before="240"/>
        <w:ind w:firstLine="540"/>
        <w:jc w:val="both"/>
      </w:pPr>
      <w:r>
        <w:rPr>
          <w:sz w:val="24"/>
        </w:rPr>
        <w:t xml:space="preserve">3. В </w:t>
      </w:r>
      <w:r>
        <w:rPr>
          <w:sz w:val="24"/>
        </w:rPr>
        <w:t>Указе</w:t>
      </w:r>
      <w:r>
        <w:rPr>
          <w:sz w:val="24"/>
        </w:rPr>
        <w:t xml:space="preserve">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(Собрание законодательства Российской Федерации, 2011, N 9, ст. 1223; 2013, N 14, ст. 1670; N 28, ст. 3813; N 49, ст. 6399; 2015, N 52, ст. 7588; 2017, N 39, ст. 5682; N 42, ст. 6137; 2019, N 20, ст. 2422; 2021, N 21, ст. 3555; 2022, N 18, ст. 3053; N 35, ст. 6067; 2023, N 27, ст. 4980) и в </w:t>
      </w:r>
      <w:r>
        <w:rPr>
          <w:sz w:val="24"/>
        </w:rPr>
        <w:t>Положении</w:t>
      </w:r>
      <w:r>
        <w:rPr>
          <w:sz w:val="24"/>
        </w:rP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утвержденном этим Указом:</w:t>
      </w:r>
    </w:p>
    <w:p w14:paraId="59000000">
      <w:pPr>
        <w:pStyle w:val="Style_2"/>
        <w:widowControl w:val="1"/>
        <w:spacing w:before="240"/>
        <w:ind w:firstLine="540"/>
        <w:jc w:val="both"/>
      </w:pPr>
      <w:r>
        <w:rPr>
          <w:sz w:val="24"/>
        </w:rPr>
        <w:t xml:space="preserve">а) в </w:t>
      </w:r>
      <w:r>
        <w:rPr>
          <w:sz w:val="24"/>
        </w:rPr>
        <w:t>абзаце втором</w:t>
      </w:r>
      <w:r>
        <w:rPr>
          <w:sz w:val="24"/>
        </w:rPr>
        <w:t xml:space="preserve"> Указа слова "и отдельные должности федеральной государственной службы, и урегулирования конфликта интересов, а также некоторых обращений граждан" заменить словами ", отдельные должности федеральной государственной службы и иные должности, и урегулирования конфликта интересов, а также некоторых обращений граждан и организаций";</w:t>
      </w:r>
    </w:p>
    <w:p w14:paraId="5A000000">
      <w:pPr>
        <w:pStyle w:val="Style_2"/>
        <w:widowControl w:val="1"/>
        <w:spacing w:before="240"/>
        <w:ind w:firstLine="540"/>
        <w:jc w:val="both"/>
      </w:pPr>
      <w:r>
        <w:rPr>
          <w:sz w:val="24"/>
        </w:rPr>
        <w:t xml:space="preserve">б) в </w:t>
      </w:r>
      <w:r>
        <w:rPr>
          <w:sz w:val="24"/>
        </w:rPr>
        <w:t>Положении</w:t>
      </w:r>
      <w:r>
        <w:rPr>
          <w:sz w:val="24"/>
        </w:rPr>
        <w:t>:</w:t>
      </w:r>
    </w:p>
    <w:p w14:paraId="5B000000">
      <w:pPr>
        <w:pStyle w:val="Style_2"/>
        <w:widowControl w:val="1"/>
        <w:spacing w:before="240"/>
        <w:ind w:firstLine="540"/>
        <w:jc w:val="both"/>
      </w:pPr>
      <w:r>
        <w:rPr>
          <w:sz w:val="24"/>
        </w:rPr>
        <w:t xml:space="preserve">в </w:t>
      </w:r>
      <w:r>
        <w:rPr>
          <w:sz w:val="24"/>
        </w:rPr>
        <w:t>наименовании</w:t>
      </w:r>
      <w:r>
        <w:rPr>
          <w:sz w:val="24"/>
        </w:rPr>
        <w:t xml:space="preserve"> слова "и отдельные должности федеральной государственной службы, и урегулирования конфликта интересов, а также некоторых обращений граждан" заменить словами ", отдельные должности федеральной государственной службы и иные должности, и урегулирования конфликта интересов, а также некоторых обращений граждан и организаций";</w:t>
      </w:r>
    </w:p>
    <w:p w14:paraId="5C000000">
      <w:pPr>
        <w:pStyle w:val="Style_2"/>
        <w:widowControl w:val="1"/>
        <w:spacing w:before="240"/>
        <w:ind w:firstLine="540"/>
        <w:jc w:val="both"/>
      </w:pPr>
      <w:r>
        <w:rPr>
          <w:sz w:val="24"/>
        </w:rPr>
        <w:t xml:space="preserve">в </w:t>
      </w:r>
      <w:r>
        <w:rPr>
          <w:sz w:val="24"/>
        </w:rPr>
        <w:t>пункте 1</w:t>
      </w:r>
      <w:r>
        <w:rPr>
          <w:sz w:val="24"/>
        </w:rPr>
        <w:t>:</w:t>
      </w:r>
    </w:p>
    <w:p w14:paraId="5D000000">
      <w:pPr>
        <w:pStyle w:val="Style_2"/>
        <w:widowControl w:val="1"/>
        <w:spacing w:before="240"/>
        <w:ind w:firstLine="540"/>
        <w:jc w:val="both"/>
      </w:pPr>
      <w:r>
        <w:rPr>
          <w:sz w:val="24"/>
        </w:rPr>
        <w:t>подпункт "а"</w:t>
      </w:r>
      <w:r>
        <w:rPr>
          <w:sz w:val="24"/>
        </w:rPr>
        <w:t xml:space="preserve"> изложить в следующей редакции:</w:t>
      </w:r>
    </w:p>
    <w:p w14:paraId="5E000000">
      <w:pPr>
        <w:pStyle w:val="Style_2"/>
        <w:widowControl w:val="1"/>
        <w:spacing w:before="240"/>
        <w:ind w:firstLine="540"/>
        <w:jc w:val="both"/>
      </w:pPr>
      <w:r>
        <w:rPr>
          <w:sz w:val="24"/>
        </w:rPr>
        <w:t xml:space="preserve">"а) вопросов, касающихся соблюдения ограничений и запретов, требований о предотвращении или об урегулировании конфликта интересов, исполнения обязанностей, установленных Федеральным </w:t>
      </w:r>
      <w:r>
        <w:rPr>
          <w:sz w:val="24"/>
        </w:rPr>
        <w:t>законом</w:t>
      </w:r>
      <w:r>
        <w:rPr>
          <w:sz w:val="24"/>
        </w:rPr>
        <w:t xml:space="preserve"> от 25 декабря 2008 г. N 273-ФЗ "О противодействии коррупции", другими федеральными законами в целях противодействия коррупции (далее - требования к служебному (должностному) поведению и (или) требования об урегулировании конфликта интересов), лицами, замещающими государственные должности Российской Федерации, названные в </w:t>
      </w:r>
      <w:r>
        <w:rPr>
          <w:sz w:val="24"/>
        </w:rPr>
        <w:t>подпункте "а" пункта 1</w:t>
      </w:r>
      <w:r>
        <w:rPr>
          <w:sz w:val="24"/>
        </w:rP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 сентября 2009 г. N 1066 (далее - Положение, утвержденное Указом Президента Российской Федерации от 21 сентября 2009 г. N 1066), должности федеральной государственной службы, назначение на которые и освобождение от которых осуществляются Президентом Российской Федерации и Правительством Российской Федерации,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(далее - лицо, замещающее государственную должность Российской Федерации и (или) должность федеральной государственной службы);";</w:t>
      </w:r>
    </w:p>
    <w:p w14:paraId="5F000000">
      <w:pPr>
        <w:pStyle w:val="Style_2"/>
        <w:widowControl w:val="1"/>
        <w:spacing w:before="240"/>
        <w:ind w:firstLine="540"/>
        <w:jc w:val="both"/>
      </w:pPr>
      <w:r>
        <w:rPr>
          <w:sz w:val="24"/>
        </w:rPr>
        <w:t>подпункт "а(1)"</w:t>
      </w:r>
      <w:r>
        <w:rPr>
          <w:sz w:val="24"/>
        </w:rPr>
        <w:t xml:space="preserve"> изложить в следующей редакции:</w:t>
      </w:r>
    </w:p>
    <w:p w14:paraId="60000000">
      <w:pPr>
        <w:pStyle w:val="Style_2"/>
        <w:widowControl w:val="1"/>
        <w:spacing w:before="240"/>
        <w:ind w:firstLine="540"/>
        <w:jc w:val="both"/>
      </w:pPr>
      <w:r>
        <w:rPr>
          <w:sz w:val="24"/>
        </w:rPr>
        <w:t>"а(1)) вопросов, касающихся соблюдения требований к служебному (должностному) поведению и (или) требований об урегулировании конфликта интересов лицами, замещающими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публично-правовых компаниях,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Указанные вопросы рассматриваются по основаниям и в порядке, которые установлены для рассмотрения вопросов, предусмотренных подпунктом "а" настоящего пункта;";</w:t>
      </w:r>
    </w:p>
    <w:p w14:paraId="61000000">
      <w:pPr>
        <w:pStyle w:val="Style_2"/>
        <w:widowControl w:val="1"/>
        <w:spacing w:before="240"/>
        <w:ind w:firstLine="540"/>
        <w:jc w:val="both"/>
      </w:pPr>
      <w:r>
        <w:rPr>
          <w:sz w:val="24"/>
        </w:rPr>
        <w:t>подпункт "б"</w:t>
      </w:r>
      <w:r>
        <w:rPr>
          <w:sz w:val="24"/>
        </w:rPr>
        <w:t xml:space="preserve"> изложить в следующей редакции:</w:t>
      </w:r>
    </w:p>
    <w:p w14:paraId="62000000">
      <w:pPr>
        <w:pStyle w:val="Style_2"/>
        <w:widowControl w:val="1"/>
        <w:spacing w:before="240"/>
        <w:ind w:firstLine="540"/>
        <w:jc w:val="both"/>
      </w:pPr>
      <w:r>
        <w:rPr>
          <w:sz w:val="24"/>
        </w:rPr>
        <w:t>"б) обращения гражданина, замещавшего должность федеральной государственной службы, указанную в подпункте "а" пункта 1 настоящего Положения (далее - гражданин),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служебные обязанности, до истечения двух лет со дня увольнения с федеральной государственной службы;";</w:t>
      </w:r>
    </w:p>
    <w:p w14:paraId="63000000">
      <w:pPr>
        <w:pStyle w:val="Style_2"/>
        <w:widowControl w:val="1"/>
        <w:spacing w:before="240"/>
        <w:ind w:firstLine="540"/>
        <w:jc w:val="both"/>
      </w:pPr>
      <w:r>
        <w:rPr>
          <w:sz w:val="24"/>
        </w:rPr>
        <w:t>подпункт "в"</w:t>
      </w:r>
      <w:r>
        <w:rPr>
          <w:sz w:val="24"/>
        </w:rPr>
        <w:t xml:space="preserve"> изложить в следующей редакции:</w:t>
      </w:r>
    </w:p>
    <w:p w14:paraId="64000000">
      <w:pPr>
        <w:pStyle w:val="Style_2"/>
        <w:widowControl w:val="1"/>
        <w:spacing w:before="240"/>
        <w:ind w:firstLine="540"/>
        <w:jc w:val="both"/>
      </w:pPr>
      <w:r>
        <w:rPr>
          <w:sz w:val="24"/>
        </w:rPr>
        <w:t>"в) уведомления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 организацией входили в его служебные обязанности, исполняемые во время замещения должности федеральной государственной службы;";</w:t>
      </w:r>
    </w:p>
    <w:p w14:paraId="65000000">
      <w:pPr>
        <w:pStyle w:val="Style_2"/>
        <w:widowControl w:val="1"/>
        <w:spacing w:before="240"/>
        <w:ind w:firstLine="540"/>
        <w:jc w:val="both"/>
      </w:pPr>
      <w:r>
        <w:rPr>
          <w:sz w:val="24"/>
        </w:rPr>
        <w:t>подпункт "г"</w:t>
      </w:r>
      <w:r>
        <w:rPr>
          <w:sz w:val="24"/>
        </w:rPr>
        <w:t xml:space="preserve"> изложить в следующей редакции:</w:t>
      </w:r>
    </w:p>
    <w:p w14:paraId="66000000">
      <w:pPr>
        <w:pStyle w:val="Style_2"/>
        <w:widowControl w:val="1"/>
        <w:spacing w:before="240"/>
        <w:ind w:firstLine="540"/>
        <w:jc w:val="both"/>
      </w:pPr>
      <w:r>
        <w:rPr>
          <w:sz w:val="24"/>
        </w:rPr>
        <w:t>"г) заявления лица, замещающего должность атамана Всероссийского казачьего общества или войскового казачьего общества, внесенных в государственный реестр казачьих обществ в Российской Федерации (далее - должность атамана Всероссийского казачьего общества или войскового казачьего общества),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уведомления такого лица о возникновении не зависящих от него обстоятельств, препятствующих соблюдению требований к служебному (должностному) поведению и (или) требований об урегулировании конфликта интересов;";</w:t>
      </w:r>
    </w:p>
    <w:p w14:paraId="67000000">
      <w:pPr>
        <w:pStyle w:val="Style_2"/>
        <w:widowControl w:val="1"/>
        <w:spacing w:before="240"/>
        <w:ind w:firstLine="540"/>
        <w:jc w:val="both"/>
      </w:pPr>
      <w:r>
        <w:rPr>
          <w:sz w:val="24"/>
        </w:rPr>
        <w:t>подпункт "д"</w:t>
      </w:r>
      <w:r>
        <w:rPr>
          <w:sz w:val="24"/>
        </w:rPr>
        <w:t xml:space="preserve"> изложить в следующей редакции:</w:t>
      </w:r>
    </w:p>
    <w:p w14:paraId="68000000">
      <w:pPr>
        <w:pStyle w:val="Style_2"/>
        <w:widowControl w:val="1"/>
        <w:spacing w:before="240"/>
        <w:ind w:firstLine="540"/>
        <w:jc w:val="both"/>
      </w:pPr>
      <w:r>
        <w:rPr>
          <w:sz w:val="24"/>
        </w:rPr>
        <w:t>"д) заявления лица, замещающего должность главного финансового уполномоченного,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 уведомления такого лица о возникновении не зависящих от него обстоятельств, препятствующих соблюдению требований к служебному (должностному) поведению и (или) требований об урегулировании конфликта интересов.";</w:t>
      </w:r>
    </w:p>
    <w:p w14:paraId="69000000">
      <w:pPr>
        <w:pStyle w:val="Style_2"/>
        <w:widowControl w:val="1"/>
        <w:spacing w:before="240"/>
        <w:ind w:firstLine="540"/>
        <w:jc w:val="both"/>
      </w:pPr>
      <w:r>
        <w:rPr>
          <w:sz w:val="24"/>
        </w:rPr>
        <w:t xml:space="preserve">в </w:t>
      </w:r>
      <w:r>
        <w:rPr>
          <w:sz w:val="24"/>
        </w:rPr>
        <w:t>пункте 2</w:t>
      </w:r>
      <w:r>
        <w:rPr>
          <w:sz w:val="24"/>
        </w:rPr>
        <w:t>:</w:t>
      </w:r>
    </w:p>
    <w:p w14:paraId="6A000000">
      <w:pPr>
        <w:pStyle w:val="Style_2"/>
        <w:widowControl w:val="1"/>
        <w:spacing w:before="240"/>
        <w:ind w:firstLine="540"/>
        <w:jc w:val="both"/>
      </w:pPr>
      <w:r>
        <w:rPr>
          <w:sz w:val="24"/>
        </w:rPr>
        <w:t>абзац третий подпункта "а"</w:t>
      </w:r>
      <w:r>
        <w:rPr>
          <w:sz w:val="24"/>
        </w:rPr>
        <w:t xml:space="preserve"> изложить в следующей редакции:</w:t>
      </w:r>
    </w:p>
    <w:p w14:paraId="6B000000">
      <w:pPr>
        <w:pStyle w:val="Style_2"/>
        <w:widowControl w:val="1"/>
        <w:spacing w:before="240"/>
        <w:ind w:firstLine="540"/>
        <w:jc w:val="both"/>
      </w:pPr>
      <w:r>
        <w:rPr>
          <w:sz w:val="24"/>
        </w:rPr>
        <w:t>"иных материалов, поступивших в президиум, о нарушении лицом, замещающим государственную должность Российской Федерации и (или) должность федеральной государственной службы либо одну из должностей, указанных в подпунктах "а(1)", "г" и "д" пункта 1 настоящего Положения, требований к служебному (должностному) поведению и (или) требований об урегулировании конфликта интересов;";</w:t>
      </w:r>
    </w:p>
    <w:p w14:paraId="6C000000">
      <w:pPr>
        <w:pStyle w:val="Style_2"/>
        <w:widowControl w:val="1"/>
        <w:spacing w:before="240"/>
        <w:ind w:firstLine="540"/>
        <w:jc w:val="both"/>
      </w:pPr>
      <w:r>
        <w:rPr>
          <w:sz w:val="24"/>
        </w:rPr>
        <w:t xml:space="preserve">в </w:t>
      </w:r>
      <w:r>
        <w:rPr>
          <w:sz w:val="24"/>
        </w:rPr>
        <w:t>подпункте "б"</w:t>
      </w:r>
      <w:r>
        <w:rPr>
          <w:sz w:val="24"/>
        </w:rPr>
        <w:t>:</w:t>
      </w:r>
    </w:p>
    <w:p w14:paraId="6D000000">
      <w:pPr>
        <w:pStyle w:val="Style_2"/>
        <w:widowControl w:val="1"/>
        <w:spacing w:before="240"/>
        <w:ind w:firstLine="540"/>
        <w:jc w:val="both"/>
      </w:pPr>
      <w:r>
        <w:rPr>
          <w:sz w:val="24"/>
        </w:rPr>
        <w:t>абзац второй</w:t>
      </w:r>
      <w:r>
        <w:rPr>
          <w:sz w:val="24"/>
        </w:rPr>
        <w:t xml:space="preserve"> изложить в следующей редакции:</w:t>
      </w:r>
    </w:p>
    <w:p w14:paraId="6E000000">
      <w:pPr>
        <w:pStyle w:val="Style_2"/>
        <w:widowControl w:val="1"/>
        <w:spacing w:before="240"/>
        <w:ind w:firstLine="540"/>
        <w:jc w:val="both"/>
      </w:pPr>
      <w:r>
        <w:rPr>
          <w:sz w:val="24"/>
        </w:rPr>
        <w:t>"обращение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служебные обязанности, до истечения двух лет со дня увольнения с федеральной государственной службы;";</w:t>
      </w:r>
    </w:p>
    <w:p w14:paraId="6F000000">
      <w:pPr>
        <w:pStyle w:val="Style_2"/>
        <w:widowControl w:val="1"/>
        <w:spacing w:before="240"/>
        <w:ind w:firstLine="540"/>
        <w:jc w:val="both"/>
      </w:pPr>
      <w:r>
        <w:rPr>
          <w:sz w:val="24"/>
        </w:rPr>
        <w:t xml:space="preserve">в </w:t>
      </w:r>
      <w:r>
        <w:rPr>
          <w:sz w:val="24"/>
        </w:rPr>
        <w:t>абзаце третьем</w:t>
      </w:r>
      <w:r>
        <w:rPr>
          <w:sz w:val="24"/>
        </w:rPr>
        <w:t xml:space="preserve"> слова "государственную должность Российской Федерации, должность федеральной государственной службы" заменить словами "государственную должность Российской Федерации и (или) должность федеральной государственной службы";</w:t>
      </w:r>
    </w:p>
    <w:p w14:paraId="70000000">
      <w:pPr>
        <w:pStyle w:val="Style_2"/>
        <w:widowControl w:val="1"/>
        <w:spacing w:before="240"/>
        <w:ind w:firstLine="540"/>
        <w:jc w:val="both"/>
      </w:pPr>
      <w:r>
        <w:rPr>
          <w:sz w:val="24"/>
        </w:rPr>
        <w:t>абзац четвертый</w:t>
      </w:r>
      <w:r>
        <w:rPr>
          <w:sz w:val="24"/>
        </w:rPr>
        <w:t xml:space="preserve"> изложить в следующей редакции:</w:t>
      </w:r>
    </w:p>
    <w:p w14:paraId="71000000">
      <w:pPr>
        <w:pStyle w:val="Style_2"/>
        <w:widowControl w:val="1"/>
        <w:spacing w:before="240"/>
        <w:ind w:firstLine="540"/>
        <w:jc w:val="both"/>
      </w:pPr>
      <w:r>
        <w:rPr>
          <w:sz w:val="24"/>
        </w:rPr>
        <w:t xml:space="preserve">"заявление лица, замещающего государственную должность Российской Федерации и (или) должность федеральной государственной службы либо одну из должностей, указанных в подпункте "а(1)" пункта 1 настоящего Положения, о невозможности выполнить требования Федерального </w:t>
      </w:r>
      <w:r>
        <w:rPr>
          <w:sz w:val="24"/>
        </w:rPr>
        <w:t>закона</w:t>
      </w:r>
      <w:r>
        <w:rPr>
          <w:sz w:val="24"/>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на территории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в соответствии с законодательством данного иностранного государства, либо в связи с иными обстоятельствами, не зависящими от его воли или воли его супруги (супруга) и несовершеннолетних детей;";</w:t>
      </w:r>
    </w:p>
    <w:p w14:paraId="72000000">
      <w:pPr>
        <w:pStyle w:val="Style_2"/>
        <w:widowControl w:val="1"/>
        <w:spacing w:before="240"/>
        <w:ind w:firstLine="540"/>
        <w:jc w:val="both"/>
      </w:pPr>
      <w:r>
        <w:rPr>
          <w:sz w:val="24"/>
        </w:rPr>
        <w:t>дополнить</w:t>
      </w:r>
      <w:r>
        <w:rPr>
          <w:sz w:val="24"/>
        </w:rPr>
        <w:t xml:space="preserve"> абзацем следующего содержания:</w:t>
      </w:r>
    </w:p>
    <w:p w14:paraId="73000000">
      <w:pPr>
        <w:pStyle w:val="Style_2"/>
        <w:widowControl w:val="1"/>
        <w:spacing w:before="240"/>
        <w:ind w:firstLine="540"/>
        <w:jc w:val="both"/>
      </w:pPr>
      <w:r>
        <w:rPr>
          <w:sz w:val="24"/>
        </w:rPr>
        <w:t xml:space="preserve">"поданное в соответствии с </w:t>
      </w:r>
      <w:r>
        <w:rPr>
          <w:sz w:val="24"/>
        </w:rPr>
        <w:t>частью 6 статьи 13</w:t>
      </w:r>
      <w:r>
        <w:rPr>
          <w:sz w:val="24"/>
        </w:rPr>
        <w:t xml:space="preserve"> Федерального закона от 25 декабря 2008 г. N 273-ФЗ "О противодействии коррупции" уведомление лица, замещающего государственную должность Российской Федерации и (или) должность федеральной государственной службы либо одну из должностей, указанных в подпунктах "а(1)", "г" и "д" пункта 1 настоящего Положения, о возникновении не зависящих от него обстоятельств, препятствующих соблюдению требований к служебному (должностному) поведению и (или) требований об урегулировании конфликта интересов;";</w:t>
      </w:r>
    </w:p>
    <w:p w14:paraId="74000000">
      <w:pPr>
        <w:pStyle w:val="Style_2"/>
        <w:widowControl w:val="1"/>
        <w:spacing w:before="240"/>
        <w:ind w:firstLine="540"/>
        <w:jc w:val="both"/>
      </w:pPr>
      <w:r>
        <w:rPr>
          <w:sz w:val="24"/>
        </w:rPr>
        <w:t>подпункт "г"</w:t>
      </w:r>
      <w:r>
        <w:rPr>
          <w:sz w:val="24"/>
        </w:rPr>
        <w:t xml:space="preserve"> изложить в следующей редакции:</w:t>
      </w:r>
    </w:p>
    <w:p w14:paraId="75000000">
      <w:pPr>
        <w:pStyle w:val="Style_2"/>
        <w:widowControl w:val="1"/>
        <w:spacing w:before="240"/>
        <w:ind w:firstLine="540"/>
        <w:jc w:val="both"/>
      </w:pPr>
      <w:r>
        <w:rPr>
          <w:sz w:val="24"/>
        </w:rPr>
        <w:t xml:space="preserve">"г) поступившее в соответствии с </w:t>
      </w:r>
      <w:r>
        <w:rPr>
          <w:sz w:val="24"/>
        </w:rPr>
        <w:t>частью 4 статьи 12</w:t>
      </w:r>
      <w:r>
        <w:rPr>
          <w:sz w:val="24"/>
        </w:rPr>
        <w:t xml:space="preserve"> Федерального закона от 25 декабря 2008 г. N 273-ФЗ "О противодействии коррупции" и </w:t>
      </w:r>
      <w:r>
        <w:rPr>
          <w:sz w:val="24"/>
        </w:rPr>
        <w:t>статьей 64.1</w:t>
      </w:r>
      <w:r>
        <w:rPr>
          <w:sz w:val="24"/>
        </w:rPr>
        <w:t xml:space="preserve"> Трудового кодекса Российской Федерации уведомление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 организацией входили в его служебные обязанности, исполняемые во время замещения должности федеральной государственной службы, при условии, что указанному гражданину президиумом ранее было отказано во вступлении в трудовые и (или) гражданско-правовые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президиумом не рассматривался.";</w:t>
      </w:r>
    </w:p>
    <w:p w14:paraId="76000000">
      <w:pPr>
        <w:pStyle w:val="Style_2"/>
        <w:widowControl w:val="1"/>
        <w:spacing w:before="240"/>
        <w:ind w:firstLine="540"/>
        <w:jc w:val="both"/>
      </w:pPr>
      <w:r>
        <w:rPr>
          <w:sz w:val="24"/>
        </w:rPr>
        <w:t>абзац второй пункта 3</w:t>
      </w:r>
      <w:r>
        <w:rPr>
          <w:sz w:val="24"/>
        </w:rPr>
        <w:t xml:space="preserve"> изложить в следующей редакции:</w:t>
      </w:r>
    </w:p>
    <w:p w14:paraId="77000000">
      <w:pPr>
        <w:pStyle w:val="Style_2"/>
        <w:widowControl w:val="1"/>
        <w:spacing w:before="240"/>
        <w:ind w:firstLine="540"/>
        <w:jc w:val="both"/>
      </w:pPr>
      <w:r>
        <w:rPr>
          <w:sz w:val="24"/>
        </w:rPr>
        <w:t>"В обращении, предусмотренном абзацем вторым подпункта "б" пункта 2 настоящего Положения, указываются фамилия, имя, отчество гражданина, дата его рождения, замещаемые должности в течение последних двух лет до увольнения с федеральной государственной службы, наименование, местонахождение коммерческой или некоммерческой организации, характер ее деятельности, служебные обязанности, исполняемые гражданином во время замещения им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14:paraId="78000000">
      <w:pPr>
        <w:pStyle w:val="Style_2"/>
        <w:widowControl w:val="1"/>
        <w:spacing w:before="240"/>
        <w:ind w:firstLine="540"/>
        <w:jc w:val="both"/>
      </w:pPr>
      <w:r>
        <w:rPr>
          <w:sz w:val="24"/>
        </w:rPr>
        <w:t>подпункт "в" пункта 3(2)</w:t>
      </w:r>
      <w:r>
        <w:rPr>
          <w:sz w:val="24"/>
        </w:rPr>
        <w:t xml:space="preserve"> после слов "в соответствии с пунктами 15 - 16(2)" дополнить словами "и пунктом 16(4)";</w:t>
      </w:r>
    </w:p>
    <w:p w14:paraId="79000000">
      <w:pPr>
        <w:pStyle w:val="Style_2"/>
        <w:widowControl w:val="1"/>
        <w:spacing w:before="240"/>
        <w:ind w:firstLine="540"/>
        <w:jc w:val="both"/>
      </w:pPr>
      <w:r>
        <w:rPr>
          <w:sz w:val="24"/>
        </w:rPr>
        <w:t>пункт 4(1)</w:t>
      </w:r>
      <w:r>
        <w:rPr>
          <w:sz w:val="24"/>
        </w:rPr>
        <w:t xml:space="preserve"> изложить в следующей редакции:</w:t>
      </w:r>
    </w:p>
    <w:p w14:paraId="7A000000">
      <w:pPr>
        <w:pStyle w:val="Style_2"/>
        <w:widowControl w:val="1"/>
        <w:spacing w:before="240"/>
        <w:ind w:firstLine="540"/>
        <w:jc w:val="both"/>
      </w:pPr>
      <w:r>
        <w:rPr>
          <w:sz w:val="24"/>
        </w:rPr>
        <w:t>"4(1). В случае если в заявлении, указанном в абзаце третьем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и (или) должность федеральной государственной службы либо одну из должностей, указанных в подпунктах "а(1)", "г" и "д" пункта 1 настоящего Положения, сведений о доходах, об имуществе и обязательствах имущественного характера является объективной и уважительной, председатель президиума может принять решение, предусмотренное подпунктом "а" пункта 16 настоящего Положения.</w:t>
      </w:r>
    </w:p>
    <w:p w14:paraId="7B000000">
      <w:pPr>
        <w:pStyle w:val="Style_2"/>
        <w:widowControl w:val="1"/>
        <w:spacing w:before="240"/>
        <w:ind w:firstLine="540"/>
        <w:jc w:val="both"/>
      </w:pPr>
      <w:r>
        <w:rPr>
          <w:sz w:val="24"/>
        </w:rPr>
        <w:t xml:space="preserve">В случае если в заявлении, указанном в абзаце четвертом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обстоятельства, препятствующие выполнению требований Федерального </w:t>
      </w:r>
      <w:r>
        <w:rPr>
          <w:sz w:val="24"/>
        </w:rPr>
        <w:t>закона</w:t>
      </w:r>
      <w:r>
        <w:rPr>
          <w:sz w:val="24"/>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подпунктом "а" пункта 16(1) настоящего Положения.</w:t>
      </w:r>
    </w:p>
    <w:p w14:paraId="7C000000">
      <w:pPr>
        <w:pStyle w:val="Style_2"/>
        <w:widowControl w:val="1"/>
        <w:spacing w:before="240"/>
        <w:ind w:firstLine="540"/>
        <w:jc w:val="both"/>
      </w:pPr>
      <w:r>
        <w:rPr>
          <w:sz w:val="24"/>
        </w:rPr>
        <w:t>В случае если в уведомлении, указанном в абзаце пятом подпункта "б" или подпункте "в"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подпунктом "а" пункта 16(2) настоящего Положения.</w:t>
      </w:r>
    </w:p>
    <w:p w14:paraId="7D000000">
      <w:pPr>
        <w:pStyle w:val="Style_2"/>
        <w:widowControl w:val="1"/>
        <w:spacing w:before="240"/>
        <w:ind w:firstLine="540"/>
        <w:jc w:val="both"/>
      </w:pPr>
      <w:r>
        <w:rPr>
          <w:sz w:val="24"/>
        </w:rPr>
        <w:t>В случае если в уведомлении, указанном в абзаце шестом подпункта "б" пункта 2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имеется причинно-следственная связь между возникновением не зависящих от лица, подавшего уведомление, обстоятельств и невозможностью соблюдения им требований к служебному (должностному) поведению и (или) требований об урегулировании конфликта интересов, председатель президиума может принять решение, предусмотренное подпунктом "а" пункта 16(4) настоящего Положения.</w:t>
      </w:r>
    </w:p>
    <w:p w14:paraId="7E000000">
      <w:pPr>
        <w:pStyle w:val="Style_2"/>
        <w:widowControl w:val="1"/>
        <w:spacing w:before="240"/>
        <w:ind w:firstLine="540"/>
        <w:jc w:val="both"/>
      </w:pPr>
      <w:r>
        <w:rPr>
          <w:sz w:val="24"/>
        </w:rPr>
        <w:t>По указанию председателя президиума мотивированное заключение и принятое на его основании решение доводятся до сведения членов президиума на ближайшем заседании президиума. Лицо, представившее обращение, заявление или уведомление, должно быть проинформировано в письменной форме о принятом решении в течение 15 дней со дня его принятия.";</w:t>
      </w:r>
    </w:p>
    <w:p w14:paraId="7F000000">
      <w:pPr>
        <w:pStyle w:val="Style_2"/>
        <w:widowControl w:val="1"/>
        <w:spacing w:before="240"/>
        <w:ind w:firstLine="540"/>
        <w:jc w:val="both"/>
      </w:pPr>
      <w:r>
        <w:rPr>
          <w:sz w:val="24"/>
        </w:rPr>
        <w:t xml:space="preserve">в </w:t>
      </w:r>
      <w:r>
        <w:rPr>
          <w:sz w:val="24"/>
        </w:rPr>
        <w:t>пункте 6</w:t>
      </w:r>
      <w:r>
        <w:rPr>
          <w:sz w:val="24"/>
        </w:rPr>
        <w:t xml:space="preserve"> слова "государственную должность Российской Федерации, должность федеральной государственной службы" заменить словами "государственную должность Российской Федерации и (или) должность федеральной государственной службы";</w:t>
      </w:r>
    </w:p>
    <w:p w14:paraId="80000000">
      <w:pPr>
        <w:pStyle w:val="Style_2"/>
        <w:widowControl w:val="1"/>
        <w:spacing w:before="240"/>
        <w:ind w:firstLine="540"/>
        <w:jc w:val="both"/>
      </w:pPr>
      <w:r>
        <w:rPr>
          <w:sz w:val="24"/>
        </w:rPr>
        <w:t xml:space="preserve">в </w:t>
      </w:r>
      <w:r>
        <w:rPr>
          <w:sz w:val="24"/>
        </w:rPr>
        <w:t>пункте 9</w:t>
      </w:r>
      <w:r>
        <w:rPr>
          <w:sz w:val="24"/>
        </w:rPr>
        <w:t xml:space="preserve"> слова "или об урегулировании конфликта интересов" заменить словами "и (или) требований об урегулировании конфликта интересов";</w:t>
      </w:r>
    </w:p>
    <w:p w14:paraId="81000000">
      <w:pPr>
        <w:pStyle w:val="Style_2"/>
        <w:widowControl w:val="1"/>
        <w:spacing w:before="240"/>
        <w:ind w:firstLine="540"/>
        <w:jc w:val="both"/>
      </w:pPr>
      <w:r>
        <w:rPr>
          <w:sz w:val="24"/>
        </w:rPr>
        <w:t>пункт 12</w:t>
      </w:r>
      <w:r>
        <w:rPr>
          <w:sz w:val="24"/>
        </w:rPr>
        <w:t xml:space="preserve"> изложить в следующей редакции:</w:t>
      </w:r>
    </w:p>
    <w:p w14:paraId="82000000">
      <w:pPr>
        <w:pStyle w:val="Style_2"/>
        <w:widowControl w:val="1"/>
        <w:spacing w:before="240"/>
        <w:ind w:firstLine="540"/>
        <w:jc w:val="both"/>
      </w:pPr>
      <w:r>
        <w:rPr>
          <w:sz w:val="24"/>
        </w:rPr>
        <w:t>"12. На заседании президиума в порядке, определяемом председателем президиума, заслушиваются пояснения лица, замещающего государственную должность Российской Федерации и (или)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либо гражданина и рассматриваются материалы, относящиеся к вопросам, включенным в повестку дня заседания. На заседании президиума по ходатайству членов президиума, таких лица либо гражданина могут быть заслушаны иные лица и рассмотрены представленные ими материалы.";</w:t>
      </w:r>
    </w:p>
    <w:p w14:paraId="83000000">
      <w:pPr>
        <w:pStyle w:val="Style_2"/>
        <w:widowControl w:val="1"/>
        <w:spacing w:before="240"/>
        <w:ind w:firstLine="540"/>
        <w:jc w:val="both"/>
      </w:pPr>
      <w:r>
        <w:rPr>
          <w:sz w:val="24"/>
        </w:rPr>
        <w:t>пункт 14</w:t>
      </w:r>
      <w:r>
        <w:rPr>
          <w:sz w:val="24"/>
        </w:rPr>
        <w:t xml:space="preserve"> изложить в следующей редакции:</w:t>
      </w:r>
    </w:p>
    <w:p w14:paraId="84000000">
      <w:pPr>
        <w:pStyle w:val="Style_2"/>
        <w:widowControl w:val="1"/>
        <w:spacing w:before="240"/>
        <w:ind w:firstLine="540"/>
        <w:jc w:val="both"/>
      </w:pPr>
      <w:r>
        <w:rPr>
          <w:sz w:val="24"/>
        </w:rPr>
        <w:t>"14. По итогам рассмотрения материалов в соответствии с подпунктом "а" пункта 2 настоящего Положения президиум может принять одно из следующих решений:</w:t>
      </w:r>
    </w:p>
    <w:p w14:paraId="85000000">
      <w:pPr>
        <w:pStyle w:val="Style_2"/>
        <w:widowControl w:val="1"/>
        <w:spacing w:before="240"/>
        <w:ind w:firstLine="540"/>
        <w:jc w:val="both"/>
      </w:pPr>
      <w:r>
        <w:rPr>
          <w:sz w:val="24"/>
        </w:rPr>
        <w:t>а) установить, что в рассматриваемом случае не содержится признаков нарушения лицом, замещающим государственную должность Российской Федерации и (или)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требований к служебному (должностному) поведению и (или) требований об урегулировании конфликта интересов;</w:t>
      </w:r>
    </w:p>
    <w:p w14:paraId="86000000">
      <w:pPr>
        <w:pStyle w:val="Style_2"/>
        <w:widowControl w:val="1"/>
        <w:spacing w:before="240"/>
        <w:ind w:firstLine="540"/>
        <w:jc w:val="both"/>
      </w:pPr>
      <w:r>
        <w:rPr>
          <w:sz w:val="24"/>
        </w:rPr>
        <w:t>б) установить, что в рассматриваемом случае имеются признаки нарушения лицом, замещающим государственную должность Российской Федерации и (или)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требований к служебному (должностному) поведению и (или) требований об урегулировании конфликта интересов. В этом случае президиумом готовится доклад Президенту Российской Федерации или Председателю Правительства Российской Федерации и при необходимости уведомляется руководитель федерального государственного органа, в котором осуществляет полномочия и (или) проходит службу лицо, замещающее государственную должность Российской Федерации и (или) должность федеральной государственной службы, уполномоченный Правительством Российской Федерации федеральный орган исполнительной власти по взаимодействию с казачьими обществами или Центральный банк Российской Федерации.";</w:t>
      </w:r>
    </w:p>
    <w:p w14:paraId="87000000">
      <w:pPr>
        <w:pStyle w:val="Style_2"/>
        <w:widowControl w:val="1"/>
        <w:spacing w:before="240"/>
        <w:ind w:firstLine="540"/>
        <w:jc w:val="both"/>
      </w:pPr>
      <w:r>
        <w:rPr>
          <w:sz w:val="24"/>
        </w:rPr>
        <w:t xml:space="preserve">в </w:t>
      </w:r>
      <w:r>
        <w:rPr>
          <w:sz w:val="24"/>
        </w:rPr>
        <w:t>пункте 15</w:t>
      </w:r>
      <w:r>
        <w:rPr>
          <w:sz w:val="24"/>
        </w:rPr>
        <w:t>:</w:t>
      </w:r>
    </w:p>
    <w:p w14:paraId="88000000">
      <w:pPr>
        <w:pStyle w:val="Style_2"/>
        <w:widowControl w:val="1"/>
        <w:spacing w:before="240"/>
        <w:ind w:firstLine="540"/>
        <w:jc w:val="both"/>
      </w:pPr>
      <w:r>
        <w:rPr>
          <w:sz w:val="24"/>
        </w:rPr>
        <w:t xml:space="preserve">в </w:t>
      </w:r>
      <w:r>
        <w:rPr>
          <w:sz w:val="24"/>
        </w:rPr>
        <w:t>подпункте "а"</w:t>
      </w:r>
      <w:r>
        <w:rPr>
          <w:sz w:val="24"/>
        </w:rPr>
        <w:t xml:space="preserve"> слова "должностные (служебные) обязанности" заменить словами "служебные обязанности";</w:t>
      </w:r>
    </w:p>
    <w:p w14:paraId="89000000">
      <w:pPr>
        <w:pStyle w:val="Style_2"/>
        <w:widowControl w:val="1"/>
        <w:spacing w:before="240"/>
        <w:ind w:firstLine="540"/>
        <w:jc w:val="both"/>
      </w:pPr>
      <w:r>
        <w:rPr>
          <w:sz w:val="24"/>
        </w:rPr>
        <w:t xml:space="preserve">в </w:t>
      </w:r>
      <w:r>
        <w:rPr>
          <w:sz w:val="24"/>
        </w:rPr>
        <w:t>подпункте "б"</w:t>
      </w:r>
      <w:r>
        <w:rPr>
          <w:sz w:val="24"/>
        </w:rPr>
        <w:t xml:space="preserve"> слова "должностные (служебные) обязанности" заменить словами "служебные обязанности";</w:t>
      </w:r>
    </w:p>
    <w:p w14:paraId="8A000000">
      <w:pPr>
        <w:pStyle w:val="Style_2"/>
        <w:widowControl w:val="1"/>
        <w:spacing w:before="240"/>
        <w:ind w:firstLine="540"/>
        <w:jc w:val="both"/>
      </w:pPr>
      <w:r>
        <w:rPr>
          <w:sz w:val="24"/>
        </w:rPr>
        <w:t xml:space="preserve">в </w:t>
      </w:r>
      <w:r>
        <w:rPr>
          <w:sz w:val="24"/>
        </w:rPr>
        <w:t>пункте 16</w:t>
      </w:r>
      <w:r>
        <w:rPr>
          <w:sz w:val="24"/>
        </w:rPr>
        <w:t>:</w:t>
      </w:r>
    </w:p>
    <w:p w14:paraId="8B000000">
      <w:pPr>
        <w:pStyle w:val="Style_2"/>
        <w:widowControl w:val="1"/>
        <w:spacing w:before="240"/>
        <w:ind w:firstLine="540"/>
        <w:jc w:val="both"/>
      </w:pPr>
      <w:r>
        <w:rPr>
          <w:sz w:val="24"/>
        </w:rPr>
        <w:t xml:space="preserve">в </w:t>
      </w:r>
      <w:r>
        <w:rPr>
          <w:sz w:val="24"/>
        </w:rPr>
        <w:t>подпункте "а"</w:t>
      </w:r>
      <w:r>
        <w:rPr>
          <w:sz w:val="24"/>
        </w:rPr>
        <w:t xml:space="preserve"> слова "государственную должность Российской Федерации, должность федеральной государственной службы" заменить словами "государственную должность Российской Федерации и (или) должность федеральной государственной службы";</w:t>
      </w:r>
    </w:p>
    <w:p w14:paraId="8C000000">
      <w:pPr>
        <w:pStyle w:val="Style_2"/>
        <w:widowControl w:val="1"/>
        <w:spacing w:before="240"/>
        <w:ind w:firstLine="540"/>
        <w:jc w:val="both"/>
      </w:pPr>
      <w:r>
        <w:rPr>
          <w:sz w:val="24"/>
        </w:rPr>
        <w:t>подпункт "б"</w:t>
      </w:r>
      <w:r>
        <w:rPr>
          <w:sz w:val="24"/>
        </w:rPr>
        <w:t xml:space="preserve"> изложить в следующей редакции:</w:t>
      </w:r>
    </w:p>
    <w:p w14:paraId="8D000000">
      <w:pPr>
        <w:pStyle w:val="Style_2"/>
        <w:widowControl w:val="1"/>
        <w:spacing w:before="240"/>
        <w:ind w:firstLine="540"/>
        <w:jc w:val="both"/>
      </w:pPr>
      <w:r>
        <w:rPr>
          <w:sz w:val="24"/>
        </w:rPr>
        <w:t>"б) признать, что причина непредставления лицом, замещающим государственную должность Российской Федерации и (или)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сведений о доходах, об имуществе и обязательствах имущественного характера своих супруги (супруга) и несовершеннолетних детей не является уважительной. В этом случае президиум рекомендует лицу, замещающему государственную должность Российской Федерации и (или) должность федеральной государственной службы, должность атамана Всероссийского казачьего общества или войскового казачьего общества, должность главного финансового уполномоченного, принять меры по представлению указанных сведений;";</w:t>
      </w:r>
    </w:p>
    <w:p w14:paraId="8E000000">
      <w:pPr>
        <w:pStyle w:val="Style_2"/>
        <w:widowControl w:val="1"/>
        <w:spacing w:before="240"/>
        <w:ind w:firstLine="540"/>
        <w:jc w:val="both"/>
      </w:pPr>
      <w:r>
        <w:rPr>
          <w:sz w:val="24"/>
        </w:rPr>
        <w:t>подпункт "в"</w:t>
      </w:r>
      <w:r>
        <w:rPr>
          <w:sz w:val="24"/>
        </w:rPr>
        <w:t xml:space="preserve"> изложить в следующей редакции:</w:t>
      </w:r>
    </w:p>
    <w:p w14:paraId="8F000000">
      <w:pPr>
        <w:pStyle w:val="Style_2"/>
        <w:widowControl w:val="1"/>
        <w:spacing w:before="240"/>
        <w:ind w:firstLine="540"/>
        <w:jc w:val="both"/>
      </w:pPr>
      <w:r>
        <w:rPr>
          <w:sz w:val="24"/>
        </w:rPr>
        <w:t>"в) признать, что причина непредставления лицом, замещающим государственную должность Российской Федерации 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президиумом готовится доклад Президенту Российской Федерации или Председателю Правительства Российской Федерации либо уведомляется руководитель федерального государственного органа, в котором осуществляет полномочия и (или) проходит службу лицо, замещающее государственную должность Российской Федерации и (или) должность федеральной государственной службы;";</w:t>
      </w:r>
    </w:p>
    <w:p w14:paraId="90000000">
      <w:pPr>
        <w:pStyle w:val="Style_2"/>
        <w:widowControl w:val="1"/>
        <w:spacing w:before="240"/>
        <w:ind w:firstLine="540"/>
        <w:jc w:val="both"/>
      </w:pPr>
      <w:r>
        <w:rPr>
          <w:sz w:val="24"/>
        </w:rPr>
        <w:t>пункт 16(1)</w:t>
      </w:r>
      <w:r>
        <w:rPr>
          <w:sz w:val="24"/>
        </w:rPr>
        <w:t xml:space="preserve"> изложить в следующей редакции:</w:t>
      </w:r>
    </w:p>
    <w:p w14:paraId="91000000">
      <w:pPr>
        <w:pStyle w:val="Style_2"/>
        <w:widowControl w:val="1"/>
        <w:spacing w:before="240"/>
        <w:ind w:firstLine="540"/>
        <w:jc w:val="both"/>
      </w:pPr>
      <w:r>
        <w:rPr>
          <w:sz w:val="24"/>
        </w:rPr>
        <w:t>"16(1). По итогам рассмотрения заявления, указанного в абзаце четвертом подпункта "б" пункта 2 настоящего Положения, президиум может принять одно из следующих решений:</w:t>
      </w:r>
    </w:p>
    <w:p w14:paraId="92000000">
      <w:pPr>
        <w:pStyle w:val="Style_2"/>
        <w:widowControl w:val="1"/>
        <w:spacing w:before="240"/>
        <w:ind w:firstLine="540"/>
        <w:jc w:val="both"/>
      </w:pPr>
      <w:r>
        <w:rPr>
          <w:sz w:val="24"/>
        </w:rPr>
        <w:t xml:space="preserve">а) признать, что обстоятельства, препятствующие выполнению лицом, замещающим государственную должность Российской Федерации и (или) должность федеральной государственной службы либо одну из должностей, указанных в подпункте "а(1)" пункта 1 настоящего Положения, требований Федерального </w:t>
      </w:r>
      <w:r>
        <w:rPr>
          <w:sz w:val="24"/>
        </w:rPr>
        <w:t>закона</w:t>
      </w:r>
      <w:r>
        <w:rPr>
          <w:sz w:val="24"/>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являются объективными;</w:t>
      </w:r>
    </w:p>
    <w:p w14:paraId="93000000">
      <w:pPr>
        <w:pStyle w:val="Style_2"/>
        <w:widowControl w:val="1"/>
        <w:spacing w:before="240"/>
        <w:ind w:firstLine="540"/>
        <w:jc w:val="both"/>
      </w:pPr>
      <w:r>
        <w:rPr>
          <w:sz w:val="24"/>
        </w:rPr>
        <w:t xml:space="preserve">б) признать, что обстоятельства, препятствующие выполнению лицом, замещающим государственную должность Российской Федерации и (или) должность федеральной государственной службы либо одну из должностей, указанных в подпункте "а(1)" пункта 1 настоящего Положения, требований Федерального </w:t>
      </w:r>
      <w:r>
        <w:rPr>
          <w:sz w:val="24"/>
        </w:rPr>
        <w:t>закона</w:t>
      </w:r>
      <w:r>
        <w:rPr>
          <w:sz w:val="24"/>
        </w:rP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не являются объективными.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руководителя федерального государственного органа, в котором осуществляет полномочия и (или) проходит службу лицо, замещающее государственную должность Российской Федерации и (или) должность федеральной государственной службы, либо руководителя организации, в которой лицо замещает одну из должностей, указанных в подпункте "а(1)" пункта 1 настоящего Положения.";</w:t>
      </w:r>
    </w:p>
    <w:p w14:paraId="94000000">
      <w:pPr>
        <w:pStyle w:val="Style_2"/>
        <w:widowControl w:val="1"/>
        <w:spacing w:before="240"/>
        <w:ind w:firstLine="540"/>
        <w:jc w:val="both"/>
      </w:pPr>
      <w:r>
        <w:rPr>
          <w:sz w:val="24"/>
        </w:rPr>
        <w:t>подпункт "б" пункта 16(2)</w:t>
      </w:r>
      <w:r>
        <w:rPr>
          <w:sz w:val="24"/>
        </w:rPr>
        <w:t xml:space="preserve"> изложить в следующей редакции:</w:t>
      </w:r>
    </w:p>
    <w:p w14:paraId="95000000">
      <w:pPr>
        <w:pStyle w:val="Style_2"/>
        <w:widowControl w:val="1"/>
        <w:spacing w:before="240"/>
        <w:ind w:firstLine="540"/>
        <w:jc w:val="both"/>
      </w:pPr>
      <w:r>
        <w:rPr>
          <w:sz w:val="24"/>
        </w:rPr>
        <w:t>"б)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О принятом решении ответственный секретарь президиума уведомляет руководителя федерального государственного органа, в котором осуществляет полномочия и (или) проходит службу лицо, замещающее государственную должность Российской Федерации и (или) должность федеральной государственной службы, либо руководителя организации, в которой лицо замещает одну из должностей, указанных в подпункте "а(1)" пункта 1 настоящего Положения;";</w:t>
      </w:r>
    </w:p>
    <w:p w14:paraId="96000000">
      <w:pPr>
        <w:pStyle w:val="Style_2"/>
        <w:widowControl w:val="1"/>
        <w:spacing w:before="240"/>
        <w:ind w:firstLine="540"/>
        <w:jc w:val="both"/>
      </w:pPr>
      <w:r>
        <w:rPr>
          <w:sz w:val="24"/>
        </w:rPr>
        <w:t>дополнить</w:t>
      </w:r>
      <w:r>
        <w:rPr>
          <w:sz w:val="24"/>
        </w:rPr>
        <w:t xml:space="preserve"> пунктом 16(4) следующего содержания:</w:t>
      </w:r>
    </w:p>
    <w:p w14:paraId="97000000">
      <w:pPr>
        <w:pStyle w:val="Style_2"/>
        <w:widowControl w:val="1"/>
        <w:spacing w:before="240"/>
        <w:ind w:firstLine="540"/>
        <w:jc w:val="both"/>
      </w:pPr>
      <w:r>
        <w:rPr>
          <w:sz w:val="24"/>
        </w:rPr>
        <w:t>"16(4). По итогам рассмотрения уведомления, указанного в абзаце шестом подпункта "б" пункта 2 настоящего Положения, президиум может принять одно из следующих решений:</w:t>
      </w:r>
    </w:p>
    <w:p w14:paraId="98000000">
      <w:pPr>
        <w:pStyle w:val="Style_2"/>
        <w:widowControl w:val="1"/>
        <w:spacing w:before="240"/>
        <w:ind w:firstLine="540"/>
        <w:jc w:val="both"/>
      </w:pPr>
      <w:r>
        <w:rPr>
          <w:sz w:val="24"/>
        </w:rPr>
        <w:t>а) признать наличие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служебному (должностному) поведению и (или) требований об урегулировании конфликта интересов;</w:t>
      </w:r>
    </w:p>
    <w:p w14:paraId="99000000">
      <w:pPr>
        <w:pStyle w:val="Style_2"/>
        <w:widowControl w:val="1"/>
        <w:spacing w:before="240"/>
        <w:ind w:firstLine="540"/>
        <w:jc w:val="both"/>
      </w:pPr>
      <w:r>
        <w:rPr>
          <w:sz w:val="24"/>
        </w:rPr>
        <w:t>б) признать отсутствие причинно-следственной связи между возникновением не зависящих от лица, подавшего уведомление, обстоятельств и невозможностью соблюдения им требований к служебному (должностному) поведению и (или) требований об урегулировании конфликта интересов.";</w:t>
      </w:r>
    </w:p>
    <w:p w14:paraId="9A000000">
      <w:pPr>
        <w:pStyle w:val="Style_2"/>
        <w:widowControl w:val="1"/>
        <w:spacing w:before="240"/>
        <w:ind w:firstLine="540"/>
        <w:jc w:val="both"/>
      </w:pPr>
      <w:r>
        <w:rPr>
          <w:sz w:val="24"/>
        </w:rPr>
        <w:t xml:space="preserve">в </w:t>
      </w:r>
      <w:r>
        <w:rPr>
          <w:sz w:val="24"/>
        </w:rPr>
        <w:t>пункте 17</w:t>
      </w:r>
      <w:r>
        <w:rPr>
          <w:sz w:val="24"/>
        </w:rPr>
        <w:t xml:space="preserve"> слова "пунктами 14 - 16(3) настоящего Положения" заменить словами "пунктами 14 - 16(4) настоящего Положения";</w:t>
      </w:r>
    </w:p>
    <w:p w14:paraId="9B000000">
      <w:pPr>
        <w:pStyle w:val="Style_2"/>
        <w:widowControl w:val="1"/>
        <w:spacing w:before="240"/>
        <w:ind w:firstLine="540"/>
        <w:jc w:val="both"/>
      </w:pPr>
      <w:r>
        <w:rPr>
          <w:sz w:val="24"/>
        </w:rPr>
        <w:t xml:space="preserve">в </w:t>
      </w:r>
      <w:r>
        <w:rPr>
          <w:sz w:val="24"/>
        </w:rPr>
        <w:t>пункте 18</w:t>
      </w:r>
      <w:r>
        <w:rPr>
          <w:sz w:val="24"/>
        </w:rPr>
        <w:t xml:space="preserve"> слова "государственную должность Российской Федерации, должность федеральной государственной службы" заменить словами "государственную должность Российской Федерации и (или) должность федеральной государственной службы";</w:t>
      </w:r>
    </w:p>
    <w:p w14:paraId="9C000000">
      <w:pPr>
        <w:pStyle w:val="Style_2"/>
        <w:widowControl w:val="1"/>
        <w:spacing w:before="240"/>
        <w:ind w:firstLine="540"/>
        <w:jc w:val="both"/>
      </w:pPr>
      <w:r>
        <w:rPr>
          <w:sz w:val="24"/>
        </w:rPr>
        <w:t xml:space="preserve">в </w:t>
      </w:r>
      <w:r>
        <w:rPr>
          <w:sz w:val="24"/>
        </w:rPr>
        <w:t>пункте 21</w:t>
      </w:r>
      <w:r>
        <w:rPr>
          <w:sz w:val="24"/>
        </w:rPr>
        <w:t>:</w:t>
      </w:r>
    </w:p>
    <w:p w14:paraId="9D000000">
      <w:pPr>
        <w:pStyle w:val="Style_2"/>
        <w:widowControl w:val="1"/>
        <w:spacing w:before="240"/>
        <w:ind w:firstLine="540"/>
        <w:jc w:val="both"/>
      </w:pPr>
      <w:r>
        <w:rPr>
          <w:sz w:val="24"/>
        </w:rPr>
        <w:t xml:space="preserve">в </w:t>
      </w:r>
      <w:r>
        <w:rPr>
          <w:sz w:val="24"/>
        </w:rPr>
        <w:t>подпункте "в"</w:t>
      </w:r>
      <w:r>
        <w:rPr>
          <w:sz w:val="24"/>
        </w:rPr>
        <w:t xml:space="preserve"> слова "государственную должность Российской Федерации, должность федеральной государственной службы" заменить словами "государственную должность Российской Федерации и (или) должность федеральной государственной службы";</w:t>
      </w:r>
    </w:p>
    <w:p w14:paraId="9E000000">
      <w:pPr>
        <w:pStyle w:val="Style_2"/>
        <w:widowControl w:val="1"/>
        <w:spacing w:before="240"/>
        <w:ind w:firstLine="540"/>
        <w:jc w:val="both"/>
      </w:pPr>
      <w:r>
        <w:rPr>
          <w:sz w:val="24"/>
        </w:rPr>
        <w:t xml:space="preserve">в </w:t>
      </w:r>
      <w:r>
        <w:rPr>
          <w:sz w:val="24"/>
        </w:rPr>
        <w:t>подпункте "д"</w:t>
      </w:r>
      <w:r>
        <w:rPr>
          <w:sz w:val="24"/>
        </w:rPr>
        <w:t xml:space="preserve"> слова "государственную должность Российской Федерации, должность федеральной государственной службы" заменить словами "государственную должность Российской Федерации и (или) должность федеральной государственной службы";</w:t>
      </w:r>
    </w:p>
    <w:p w14:paraId="9F000000">
      <w:pPr>
        <w:pStyle w:val="Style_2"/>
        <w:widowControl w:val="1"/>
        <w:spacing w:before="240"/>
        <w:ind w:firstLine="540"/>
        <w:jc w:val="both"/>
      </w:pPr>
      <w:r>
        <w:rPr>
          <w:sz w:val="24"/>
        </w:rPr>
        <w:t xml:space="preserve">в </w:t>
      </w:r>
      <w:r>
        <w:rPr>
          <w:sz w:val="24"/>
        </w:rPr>
        <w:t>пункте 23</w:t>
      </w:r>
      <w:r>
        <w:rPr>
          <w:sz w:val="24"/>
        </w:rPr>
        <w:t xml:space="preserve"> слова "государственную должность Российской Федерации, должность федеральной государственной службы" заменить словами "государственную должность Российской Федерации и (или) должность федеральной государственной службы".</w:t>
      </w:r>
    </w:p>
    <w:p w14:paraId="A0000000">
      <w:pPr>
        <w:pStyle w:val="Style_2"/>
        <w:widowControl w:val="1"/>
        <w:spacing w:before="240"/>
        <w:ind w:firstLine="540"/>
        <w:jc w:val="both"/>
      </w:pPr>
      <w:r>
        <w:rPr>
          <w:sz w:val="24"/>
        </w:rPr>
        <w:t xml:space="preserve">4. В </w:t>
      </w:r>
      <w:r>
        <w:rPr>
          <w:sz w:val="24"/>
        </w:rPr>
        <w:t>пункте 29</w:t>
      </w:r>
      <w:r>
        <w:rPr>
          <w:sz w:val="24"/>
        </w:rPr>
        <w:t xml:space="preserve"> Указа Президента Российской Федерации от 2 апреля 2013 г. N 309 "О мерах по реализации отдельных положений Федерального закона "О противодействии коррупции" (Собрание законодательства Российской Федерации, 2013, N 14, ст. 1670; N 23, ст. 2892; N 28, ст. 3813; N 49, ст. 6399; 2014, N 26, ст. 3520; N 30, ст. 4286; 2015, N 10, ст. 1506; 2016, N 24, ст. 3506; 2017, N 9, ст. 1339; N 39, ст. 5682; 2018, N 45, ст. 6916; 2019, N 20, ст. 2422; 2020, N 3, ст. 243; N 50, ст. 8185; 2021, N 17, ст. 2947; N 46, ст. 7675; 2022, N 18, ст. 3053; N 35, ст. 6067; 2023, N 12, ст. 2014; N 27, ст. 4980) слова "членами Совета Федерации Федерального Собрания Российской Федерации" заменить словами "сенаторами Российской Федерации".</w:t>
      </w:r>
    </w:p>
    <w:p w14:paraId="A1000000">
      <w:pPr>
        <w:pStyle w:val="Style_2"/>
        <w:widowControl w:val="1"/>
        <w:spacing w:before="240"/>
        <w:ind w:firstLine="540"/>
        <w:jc w:val="both"/>
      </w:pPr>
      <w:r>
        <w:rPr>
          <w:sz w:val="24"/>
        </w:rPr>
        <w:t xml:space="preserve">5. В </w:t>
      </w:r>
      <w:r>
        <w:rPr>
          <w:sz w:val="24"/>
        </w:rPr>
        <w:t>пункте 8</w:t>
      </w:r>
      <w:r>
        <w:rPr>
          <w:sz w:val="24"/>
        </w:rPr>
        <w:t xml:space="preserve"> Указа Президента Российской Федерации от 2 апреля 2013 г. N 310 "О мерах по реализации отдельных положений Федерального закона "О контроле за соответствием расходов лиц, замещающих государственные должности, и иных лиц их доходам" (Собрание законодательства Российской Федерации, 2013, N 14, ст. 1671; N 28, ст. 3813; N 49, ст. 6399; 2014, N 26, ст. 3520; 2019, N 20, ст. 2422; 2020, N 50, ст. 8185; 2021, N 21, ст. 3555; 2022, N 35, ст. 6067; 2023, N 27, ст. 4980) слова "в соответствии с Положением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 заменить словами "в соответствии с </w:t>
      </w:r>
      <w:r>
        <w:rPr>
          <w:sz w:val="24"/>
        </w:rPr>
        <w:t>Положением</w:t>
      </w:r>
      <w:r>
        <w:rPr>
          <w:sz w:val="24"/>
        </w:rP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отдельные должности федеральной государственной службы и иные должности, и урегулирования конфликта интересов, а также некоторых обращений граждан и организаций,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14:paraId="A2000000">
      <w:pPr>
        <w:pStyle w:val="Style_2"/>
        <w:widowControl w:val="1"/>
        <w:spacing w:before="240"/>
        <w:ind w:firstLine="540"/>
        <w:jc w:val="both"/>
      </w:pPr>
      <w:r>
        <w:rPr>
          <w:sz w:val="24"/>
        </w:rPr>
        <w:t xml:space="preserve">6. </w:t>
      </w:r>
      <w:r>
        <w:rPr>
          <w:sz w:val="24"/>
        </w:rPr>
        <w:t>Сноску 3</w:t>
      </w:r>
      <w:r>
        <w:rPr>
          <w:sz w:val="24"/>
        </w:rPr>
        <w:t xml:space="preserve"> к разделу 4 формы справки о доходах, расходах, об имуществе и обязательствах имущественного характера, утвержденной Указом Президента Российской Федерации от 23 июня 2014 г. N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(Собрание законодательства Российской Федерации, 2014, N 26, ст. 3520; 2017, N 39, ст. 5682; 2020, N 3, ст. 243; N 50, ст. 8185; 2022, N 30, ст. 5589), изложить в следующей редакции:</w:t>
      </w:r>
    </w:p>
    <w:p w14:paraId="A3000000">
      <w:pPr>
        <w:pStyle w:val="Style_2"/>
        <w:widowControl w:val="1"/>
        <w:spacing w:before="240"/>
        <w:ind w:firstLine="540"/>
        <w:jc w:val="both"/>
      </w:pPr>
      <w:r>
        <w:rPr>
          <w:sz w:val="24"/>
        </w:rPr>
        <w:t>"&lt;3&gt; Указываются суммы денежных средств, поступивших на счета за отчетный период, в случае если общая сумма таких денежных средств превышает общий доход лица, его супруги (супруга) и несовершеннолетних детей за отчетный период и предшествующие два года. Для счетов в иностранной валюте суммы указываются в рублях по курсу Банка России на отчетную дату.".</w:t>
      </w:r>
    </w:p>
    <w:p w14:paraId="A4000000">
      <w:pPr>
        <w:pStyle w:val="Style_2"/>
        <w:widowControl w:val="1"/>
        <w:spacing w:before="240"/>
        <w:ind w:firstLine="540"/>
        <w:jc w:val="both"/>
      </w:pPr>
      <w:r>
        <w:rPr>
          <w:sz w:val="24"/>
        </w:rPr>
        <w:t xml:space="preserve">7. В </w:t>
      </w:r>
      <w:r>
        <w:rPr>
          <w:sz w:val="24"/>
        </w:rPr>
        <w:t>подпункте "а" пункта 8</w:t>
      </w:r>
      <w:r>
        <w:rPr>
          <w:sz w:val="24"/>
        </w:rPr>
        <w:t xml:space="preserve"> Указа Президента Российской Федерации от 22 декабря 2015 г. N 650 "О порядке сообщения лицами, замещающими отдельные государственные должности Российской Федерации, должности федеральной государственной службы, и иными лицами о возникновении личной заинтересованности при исполнении должностных обязанностей, которая приводит или может привести к конфликту интересов, и о внесении изменений в некоторые акты Президента Российской Федерации" (Собрание законодательства Российской Федерации, 2015, N 52, ст. 7588; 2022, N 18, ст. 3053; N 27, ст. 4810; N 35, ст. 6067; 2023, N 27, ст. 4980; N 44, ст. 7864) слова "членами Совета Федерации Федерального Собрания Российской Федерации" заменить словами "сенаторами Российской Федерации".</w:t>
      </w:r>
    </w:p>
    <w:p w14:paraId="A5000000">
      <w:pPr>
        <w:pStyle w:val="Style_2"/>
        <w:widowControl w:val="1"/>
        <w:ind/>
        <w:jc w:val="both"/>
      </w:pPr>
    </w:p>
    <w:p w14:paraId="A6000000">
      <w:pPr>
        <w:pStyle w:val="Style_2"/>
        <w:widowControl w:val="1"/>
        <w:ind/>
        <w:jc w:val="both"/>
      </w:pPr>
    </w:p>
    <w:p w14:paraId="A7000000">
      <w:pPr>
        <w:pStyle w:val="Style_2"/>
        <w:widowControl w:val="1"/>
        <w:pBdr>
          <w:bottom w:color="000000" w:space="0" w:sz="6" w:val="single"/>
        </w:pBdr>
        <w:spacing w:after="100" w:before="100"/>
        <w:ind/>
        <w:jc w:val="both"/>
        <w:rPr>
          <w:sz w:val="2"/>
        </w:rPr>
      </w:pPr>
    </w:p>
    <w:sectPr>
      <w:headerReference r:id="rId3" w:type="default"/>
      <w:headerReference r:id="rId1" w:type="first"/>
      <w:footerReference r:id="rId4" w:type="default"/>
      <w:footerReference r:id="rId2" w:type="first"/>
      <w:pgSz w:h="16838" w:orient="portrait" w:w="11906"/>
      <w:pgMar w:bottom="1440" w:footer="0" w:gutter="0" w:header="0" w:left="1133" w:right="566" w:top="1440"/>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footer2.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5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6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07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08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14</w:t>
          </w:r>
          <w:r>
            <w:fldChar w:fldCharType="end"/>
          </w:r>
        </w:p>
      </w:tc>
    </w:tr>
  </w:tbl>
  <w:p w14:paraId="09000000">
    <w:r>
      <w:rPr>
        <w:sz w:val="2"/>
      </w:rPr>
      <w:t>1</w:t>
    </w:r>
  </w:p>
</w:ftr>
</file>

<file path=word/footer4.xml><?xml version="1.0" encoding="utf-8"?>
<w:ft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E000000">
    <w:pPr>
      <w:widowControl w:val="1"/>
      <w:pBdr>
        <w:bottom w:color="000000" w:space="0" w:sz="12" w:val="single"/>
      </w:pBdr>
      <w:ind/>
      <w:rPr>
        <w:sz w:val="2"/>
      </w:rPr>
    </w:pPr>
  </w:p>
  <w:tbl>
    <w:tblPr>
      <w:tblW w:type="auto" w:w="0"/>
      <w:tblInd w:type="dxa" w:w="0"/>
      <w:tblLayout w:type="fixed"/>
      <w:tblCellMar>
        <w:left w:type="dxa" w:w="40"/>
        <w:right w:type="dxa" w:w="40"/>
      </w:tblCellMar>
    </w:tblPr>
    <w:tblGrid>
      <w:gridCol w:w="3368"/>
      <w:gridCol w:w="3470"/>
      <w:gridCol w:w="3368"/>
    </w:tblGrid>
    <w:tr>
      <w:trPr>
        <w:trHeight w:hRule="exact" w:val="1663"/>
      </w:trPr>
      <w:tc>
        <w:tcPr>
          <w:tcW w:type="dxa" w:w="3368"/>
          <w:tcMar>
            <w:left w:type="dxa" w:w="40"/>
            <w:right w:type="dxa" w:w="40"/>
          </w:tcMar>
          <w:vAlign w:val="center"/>
        </w:tcPr>
        <w:p w14:paraId="0F000000">
          <w:r>
            <w:rPr>
              <w:rFonts w:ascii="Tahoma" w:hAnsi="Tahoma"/>
              <w:b w:val="1"/>
              <w:color w:val="F58220"/>
              <w:sz w:val="28"/>
            </w:rPr>
            <w:t>КонсультантПлюс</w:t>
          </w:r>
          <w:r>
            <w:rPr>
              <w:rFonts w:ascii="Tahoma" w:hAnsi="Tahoma"/>
              <w:b w:val="1"/>
              <w:sz w:val="16"/>
            </w:rPr>
            <w:br/>
          </w:r>
          <w:r>
            <w:rPr>
              <w:rFonts w:ascii="Tahoma" w:hAnsi="Tahoma"/>
              <w:b w:val="1"/>
              <w:sz w:val="16"/>
            </w:rPr>
            <w:t>надежная правовая поддержка</w:t>
          </w:r>
        </w:p>
      </w:tc>
      <w:tc>
        <w:tcPr>
          <w:tcW w:type="dxa" w:w="3470"/>
          <w:tcMar>
            <w:left w:type="dxa" w:w="40"/>
            <w:right w:type="dxa" w:w="40"/>
          </w:tcMar>
          <w:vAlign w:val="center"/>
        </w:tcPr>
        <w:p w14:paraId="10000000">
          <w:pPr>
            <w:widowControl w:val="1"/>
            <w:ind/>
            <w:jc w:val="center"/>
          </w:pPr>
          <w:r>
            <w:rPr>
              <w:rFonts w:ascii="Tahoma" w:hAnsi="Tahoma"/>
              <w:b w:val="1"/>
              <w:color w:val="0000FF"/>
            </w:rPr>
            <w:fldChar w:fldCharType="begin"/>
          </w:r>
          <w:r>
            <w:rPr>
              <w:rFonts w:ascii="Tahoma" w:hAnsi="Tahoma"/>
              <w:b w:val="1"/>
              <w:color w:val="0000FF"/>
            </w:rPr>
            <w:instrText>HYPERLINK "https://www.consultant.ru"</w:instrText>
          </w:r>
          <w:r>
            <w:rPr>
              <w:rFonts w:ascii="Tahoma" w:hAnsi="Tahoma"/>
              <w:b w:val="1"/>
              <w:color w:val="0000FF"/>
            </w:rPr>
            <w:fldChar w:fldCharType="separate"/>
          </w:r>
          <w:r>
            <w:rPr>
              <w:rFonts w:ascii="Tahoma" w:hAnsi="Tahoma"/>
              <w:b w:val="1"/>
              <w:color w:val="0000FF"/>
            </w:rPr>
            <w:t>www.consultant.ru</w:t>
          </w:r>
          <w:r>
            <w:rPr>
              <w:rFonts w:ascii="Tahoma" w:hAnsi="Tahoma"/>
              <w:b w:val="1"/>
              <w:color w:val="0000FF"/>
            </w:rPr>
            <w:fldChar w:fldCharType="end"/>
          </w:r>
        </w:p>
      </w:tc>
      <w:tc>
        <w:tcPr>
          <w:tcW w:type="dxa" w:w="3368"/>
          <w:tcMar>
            <w:left w:type="dxa" w:w="40"/>
            <w:right w:type="dxa" w:w="40"/>
          </w:tcMar>
          <w:vAlign w:val="center"/>
        </w:tcPr>
        <w:p w14:paraId="11000000">
          <w:r>
            <w:rPr>
              <w:rFonts w:ascii="Tahoma" w:hAnsi="Tahoma"/>
            </w:rPr>
            <w:t xml:space="preserve">Страница </w:t>
          </w:r>
          <w:r>
            <w:fldChar w:fldCharType="begin"/>
          </w:r>
          <w:r>
            <w:instrText xml:space="preserve">PAGE </w:instrText>
          </w:r>
          <w:r>
            <w:fldChar w:fldCharType="separate"/>
          </w:r>
          <w:r>
            <w:t xml:space="preserve"> </w:t>
          </w:r>
          <w:r>
            <w:fldChar w:fldCharType="end"/>
          </w:r>
          <w:r>
            <w:rPr>
              <w:rFonts w:ascii="Tahoma" w:hAnsi="Tahoma"/>
            </w:rPr>
            <w:t xml:space="preserve"> из </w:t>
          </w:r>
          <w:r>
            <w:fldChar w:fldCharType="begin"/>
          </w:r>
          <w:r>
            <w:instrText xml:space="preserve">NUMPAGES </w:instrText>
          </w:r>
          <w:r>
            <w:fldChar w:fldCharType="separate"/>
          </w:r>
          <w:r>
            <w:t>14</w:t>
          </w:r>
          <w:r>
            <w:fldChar w:fldCharType="end"/>
          </w:r>
        </w:p>
      </w:tc>
    </w:tr>
  </w:tbl>
  <w:p w14:paraId="12000000">
    <w:r>
      <w:rPr>
        <w:sz w:val="2"/>
      </w:rPr>
      <w:t>1</w:t>
    </w:r>
  </w:p>
</w:ftr>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1000000">
          <w:pPr>
            <w:rPr>
              <w:rFonts w:ascii="Tahoma" w:hAnsi="Tahoma"/>
            </w:rPr>
          </w:pPr>
          <w:r>
            <w:rPr>
              <w:rFonts w:ascii="Tahoma" w:hAnsi="Tahoma"/>
              <w:sz w:val="16"/>
            </w:rPr>
            <w:t>Указ Президента РФ от 25.01.2024 N 71</w:t>
          </w:r>
          <w:r>
            <w:rPr>
              <w:rFonts w:ascii="Tahoma" w:hAnsi="Tahoma"/>
              <w:sz w:val="16"/>
            </w:rPr>
            <w:br/>
          </w:r>
          <w:r>
            <w:rPr>
              <w:rFonts w:ascii="Tahoma" w:hAnsi="Tahoma"/>
              <w:sz w:val="16"/>
            </w:rPr>
            <w:t>"О внесении изменений в некоторые акты Президента Российской Федерации"</w:t>
          </w:r>
        </w:p>
      </w:tc>
      <w:tc>
        <w:tcPr>
          <w:tcW w:type="dxa" w:w="4695"/>
          <w:tcMar>
            <w:left w:type="dxa" w:w="40"/>
            <w:right w:type="dxa" w:w="40"/>
          </w:tcMar>
          <w:vAlign w:val="center"/>
        </w:tcPr>
        <w:p w14:paraId="02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3000000">
    <w:pPr>
      <w:widowControl w:val="1"/>
      <w:pBdr>
        <w:bottom w:color="000000" w:space="0" w:sz="12" w:val="single"/>
      </w:pBdr>
      <w:ind/>
      <w:rPr>
        <w:sz w:val="2"/>
      </w:rPr>
    </w:pPr>
  </w:p>
  <w:p w14:paraId="04000000"/>
</w:hdr>
</file>

<file path=word/header3.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tbl>
    <w:tblPr>
      <w:tblW w:type="auto" w:w="0"/>
      <w:tblInd w:type="dxa" w:w="0"/>
      <w:tblLayout w:type="fixed"/>
      <w:tblCellMar>
        <w:left w:type="dxa" w:w="40"/>
        <w:right w:type="dxa" w:w="40"/>
      </w:tblCellMar>
    </w:tblPr>
    <w:tblGrid>
      <w:gridCol w:w="5512"/>
      <w:gridCol w:w="4695"/>
    </w:tblGrid>
    <w:tr>
      <w:trPr>
        <w:trHeight w:hRule="exact" w:val="1683"/>
      </w:trPr>
      <w:tc>
        <w:tcPr>
          <w:tcW w:type="dxa" w:w="5512"/>
          <w:tcMar>
            <w:left w:type="dxa" w:w="40"/>
            <w:right w:type="dxa" w:w="40"/>
          </w:tcMar>
          <w:vAlign w:val="center"/>
        </w:tcPr>
        <w:p w14:paraId="0A000000">
          <w:pPr>
            <w:rPr>
              <w:rFonts w:ascii="Tahoma" w:hAnsi="Tahoma"/>
            </w:rPr>
          </w:pPr>
          <w:r>
            <w:rPr>
              <w:rFonts w:ascii="Tahoma" w:hAnsi="Tahoma"/>
              <w:sz w:val="16"/>
            </w:rPr>
            <w:t>Указ Президента РФ от 25.01.2024 N 71</w:t>
          </w:r>
          <w:r>
            <w:rPr>
              <w:rFonts w:ascii="Tahoma" w:hAnsi="Tahoma"/>
              <w:sz w:val="16"/>
            </w:rPr>
            <w:br/>
          </w:r>
          <w:r>
            <w:rPr>
              <w:rFonts w:ascii="Tahoma" w:hAnsi="Tahoma"/>
              <w:sz w:val="16"/>
            </w:rPr>
            <w:t>"О внесении изменений в некоторые акты Президента Российской Федерации"</w:t>
          </w:r>
        </w:p>
      </w:tc>
      <w:tc>
        <w:tcPr>
          <w:tcW w:type="dxa" w:w="4695"/>
          <w:tcMar>
            <w:left w:type="dxa" w:w="40"/>
            <w:right w:type="dxa" w:w="40"/>
          </w:tcMar>
          <w:vAlign w:val="center"/>
        </w:tcPr>
        <w:p w14:paraId="0B000000">
          <w:pPr>
            <w:rPr>
              <w:rFonts w:ascii="Tahoma" w:hAnsi="Tahoma"/>
            </w:rPr>
          </w:pPr>
          <w:r>
            <w:rPr>
              <w:rFonts w:ascii="Tahoma" w:hAnsi="Tahoma"/>
              <w:sz w:val="18"/>
            </w:rPr>
            <w:t xml:space="preserve">Документ предоставлен </w:t>
          </w:r>
          <w:r>
            <w:rPr>
              <w:rFonts w:ascii="Tahoma" w:hAnsi="Tahoma"/>
              <w:color w:val="0000FF"/>
              <w:sz w:val="18"/>
            </w:rPr>
            <w:fldChar w:fldCharType="begin"/>
          </w:r>
          <w:r>
            <w:rPr>
              <w:rFonts w:ascii="Tahoma" w:hAnsi="Tahoma"/>
              <w:color w:val="0000FF"/>
              <w:sz w:val="18"/>
            </w:rPr>
            <w:instrText>HYPERLINK "https://www.consultant.ru" \o "КонсультантПлюс - надежная правовая система"</w:instrText>
          </w:r>
          <w:r>
            <w:rPr>
              <w:rFonts w:ascii="Tahoma" w:hAnsi="Tahoma"/>
              <w:color w:val="0000FF"/>
              <w:sz w:val="18"/>
            </w:rPr>
            <w:fldChar w:fldCharType="separate"/>
          </w:r>
          <w:r>
            <w:rPr>
              <w:rFonts w:ascii="Tahoma" w:hAnsi="Tahoma"/>
              <w:color w:val="0000FF"/>
              <w:sz w:val="18"/>
            </w:rPr>
            <w:t>КонсультантПлюс</w:t>
          </w:r>
          <w:r>
            <w:rPr>
              <w:rFonts w:ascii="Tahoma" w:hAnsi="Tahoma"/>
              <w:color w:val="0000FF"/>
              <w:sz w:val="18"/>
            </w:rPr>
            <w:fldChar w:fldCharType="end"/>
          </w:r>
          <w:r>
            <w:rPr>
              <w:rFonts w:ascii="Tahoma" w:hAnsi="Tahoma"/>
              <w:sz w:val="18"/>
            </w:rPr>
            <w:br/>
          </w:r>
          <w:r>
            <w:rPr>
              <w:rFonts w:ascii="Tahoma" w:hAnsi="Tahoma"/>
              <w:sz w:val="16"/>
            </w:rPr>
            <w:t>Дата сохранения: 21.08.2026</w:t>
          </w:r>
        </w:p>
      </w:tc>
    </w:tr>
  </w:tbl>
  <w:p w14:paraId="0C000000">
    <w:pPr>
      <w:widowControl w:val="1"/>
      <w:pBdr>
        <w:bottom w:color="000000" w:space="0" w:sz="12" w:val="single"/>
      </w:pBdr>
      <w:ind/>
      <w:rPr>
        <w:sz w:val="2"/>
      </w:rPr>
    </w:pPr>
  </w:p>
  <w:p w14:paraId="0D000000"/>
</w:hdr>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20"/>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XO Thames" w:hAnsi="XO Thames"/>
        <w:color w:val="000000"/>
        <w:spacing w:val="0"/>
        <w:sz w:val="24"/>
      </w:rPr>
    </w:rPrDefault>
    <w:pPrDefault>
      <w:pPr>
        <w:widowControl w:val="1"/>
        <w:spacing w:after="0" w:before="0" w:line="240"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2" w:type="paragraph">
    <w:name w:val="ConsPlusNormal"/>
    <w:link w:val="Style_2_ch"/>
    <w:pPr>
      <w:widowControl w:val="0"/>
      <w:ind/>
    </w:pPr>
    <w:rPr>
      <w:rFonts w:ascii="Times New Roman" w:hAnsi="Times New Roman"/>
      <w:sz w:val="24"/>
    </w:rPr>
  </w:style>
  <w:style w:default="1" w:styleId="Style_2_ch" w:type="character">
    <w:name w:val="ConsPlusNormal"/>
    <w:link w:val="Style_2"/>
    <w:rPr>
      <w:rFonts w:ascii="Times New Roman" w:hAnsi="Times New Roman"/>
      <w:sz w:val="24"/>
    </w:rPr>
  </w:style>
  <w:style w:styleId="Style_1" w:type="paragraph">
    <w:name w:val="ConsPlusTitlePage"/>
    <w:link w:val="Style_1_ch"/>
    <w:pPr>
      <w:widowControl w:val="0"/>
      <w:ind/>
    </w:pPr>
    <w:rPr>
      <w:rFonts w:ascii="Tahoma" w:hAnsi="Tahoma"/>
      <w:sz w:val="20"/>
    </w:rPr>
  </w:style>
  <w:style w:styleId="Style_1_ch" w:type="character">
    <w:name w:val="ConsPlusTitlePage"/>
    <w:link w:val="Style_1"/>
    <w:rPr>
      <w:rFonts w:ascii="Tahoma" w:hAnsi="Tahoma"/>
      <w:sz w:val="20"/>
    </w:rPr>
  </w:style>
  <w:style w:styleId="Style_4" w:type="paragraph">
    <w:name w:val="toc 2"/>
    <w:next w:val="Style_5"/>
    <w:link w:val="Style_4_ch"/>
    <w:uiPriority w:val="39"/>
    <w:pPr>
      <w:ind w:firstLine="0" w:left="200"/>
      <w:jc w:val="left"/>
    </w:pPr>
    <w:rPr>
      <w:rFonts w:ascii="XO Thames" w:hAnsi="XO Thames"/>
      <w:sz w:val="28"/>
    </w:rPr>
  </w:style>
  <w:style w:styleId="Style_4_ch" w:type="character">
    <w:name w:val="toc 2"/>
    <w:link w:val="Style_4"/>
    <w:rPr>
      <w:rFonts w:ascii="XO Thames" w:hAnsi="XO Thames"/>
      <w:sz w:val="28"/>
    </w:rPr>
  </w:style>
  <w:style w:styleId="Style_6" w:type="paragraph">
    <w:name w:val="ConsPlusJurTerm"/>
    <w:link w:val="Style_6_ch"/>
    <w:pPr>
      <w:widowControl w:val="0"/>
      <w:ind/>
    </w:pPr>
    <w:rPr>
      <w:rFonts w:ascii="Tahoma" w:hAnsi="Tahoma"/>
      <w:sz w:val="26"/>
    </w:rPr>
  </w:style>
  <w:style w:styleId="Style_6_ch" w:type="character">
    <w:name w:val="ConsPlusJurTerm"/>
    <w:link w:val="Style_6"/>
    <w:rPr>
      <w:rFonts w:ascii="Tahoma" w:hAnsi="Tahoma"/>
      <w:sz w:val="26"/>
    </w:rPr>
  </w:style>
  <w:style w:styleId="Style_7" w:type="paragraph">
    <w:name w:val="ConsPlusTextList"/>
    <w:link w:val="Style_7_ch"/>
    <w:pPr>
      <w:widowControl w:val="0"/>
      <w:ind/>
    </w:pPr>
    <w:rPr>
      <w:rFonts w:ascii="Times New Roman" w:hAnsi="Times New Roman"/>
      <w:sz w:val="24"/>
    </w:rPr>
  </w:style>
  <w:style w:styleId="Style_7_ch" w:type="character">
    <w:name w:val="ConsPlusTextList"/>
    <w:link w:val="Style_7"/>
    <w:rPr>
      <w:rFonts w:ascii="Times New Roman" w:hAnsi="Times New Roman"/>
      <w:sz w:val="24"/>
    </w:rPr>
  </w:style>
  <w:style w:styleId="Style_8" w:type="paragraph">
    <w:name w:val="toc 4"/>
    <w:next w:val="Style_5"/>
    <w:link w:val="Style_8_ch"/>
    <w:uiPriority w:val="39"/>
    <w:pPr>
      <w:ind w:firstLine="0" w:left="600"/>
      <w:jc w:val="left"/>
    </w:pPr>
    <w:rPr>
      <w:rFonts w:ascii="XO Thames" w:hAnsi="XO Thames"/>
      <w:sz w:val="28"/>
    </w:rPr>
  </w:style>
  <w:style w:styleId="Style_8_ch" w:type="character">
    <w:name w:val="toc 4"/>
    <w:link w:val="Style_8"/>
    <w:rPr>
      <w:rFonts w:ascii="XO Thames" w:hAnsi="XO Thames"/>
      <w:sz w:val="28"/>
    </w:rPr>
  </w:style>
  <w:style w:styleId="Style_9" w:type="paragraph">
    <w:name w:val="toc 6"/>
    <w:next w:val="Style_5"/>
    <w:link w:val="Style_9_ch"/>
    <w:uiPriority w:val="39"/>
    <w:pPr>
      <w:ind w:firstLine="0" w:left="1000"/>
      <w:jc w:val="left"/>
    </w:pPr>
    <w:rPr>
      <w:rFonts w:ascii="XO Thames" w:hAnsi="XO Thames"/>
      <w:sz w:val="28"/>
    </w:rPr>
  </w:style>
  <w:style w:styleId="Style_9_ch" w:type="character">
    <w:name w:val="toc 6"/>
    <w:link w:val="Style_9"/>
    <w:rPr>
      <w:rFonts w:ascii="XO Thames" w:hAnsi="XO Thames"/>
      <w:sz w:val="28"/>
    </w:rPr>
  </w:style>
  <w:style w:styleId="Style_10" w:type="paragraph">
    <w:name w:val="toc 7"/>
    <w:next w:val="Style_5"/>
    <w:link w:val="Style_10_ch"/>
    <w:uiPriority w:val="39"/>
    <w:pPr>
      <w:ind w:firstLine="0" w:left="1200"/>
      <w:jc w:val="left"/>
    </w:pPr>
    <w:rPr>
      <w:rFonts w:ascii="XO Thames" w:hAnsi="XO Thames"/>
      <w:sz w:val="28"/>
    </w:rPr>
  </w:style>
  <w:style w:styleId="Style_10_ch" w:type="character">
    <w:name w:val="toc 7"/>
    <w:link w:val="Style_10"/>
    <w:rPr>
      <w:rFonts w:ascii="XO Thames" w:hAnsi="XO Thames"/>
      <w:sz w:val="28"/>
    </w:rPr>
  </w:style>
  <w:style w:styleId="Style_5" w:type="paragraph">
    <w:name w:val="Normal"/>
    <w:link w:val="Style_5_ch"/>
    <w:uiPriority w:val="0"/>
    <w:qFormat/>
  </w:style>
  <w:style w:styleId="Style_5_ch" w:type="character">
    <w:name w:val="Normal"/>
    <w:link w:val="Style_5"/>
  </w:style>
  <w:style w:styleId="Style_11" w:type="paragraph">
    <w:name w:val="Endnote"/>
    <w:link w:val="Style_11_ch"/>
    <w:pPr>
      <w:ind w:firstLine="851" w:left="0"/>
      <w:jc w:val="both"/>
    </w:pPr>
    <w:rPr>
      <w:rFonts w:ascii="XO Thames" w:hAnsi="XO Thames"/>
      <w:sz w:val="22"/>
    </w:rPr>
  </w:style>
  <w:style w:styleId="Style_11_ch" w:type="character">
    <w:name w:val="Endnote"/>
    <w:link w:val="Style_11"/>
    <w:rPr>
      <w:rFonts w:ascii="XO Thames" w:hAnsi="XO Thames"/>
      <w:sz w:val="22"/>
    </w:rPr>
  </w:style>
  <w:style w:styleId="Style_12" w:type="paragraph">
    <w:name w:val="heading 3"/>
    <w:next w:val="Style_5"/>
    <w:link w:val="Style_12_ch"/>
    <w:uiPriority w:val="9"/>
    <w:qFormat/>
    <w:pPr>
      <w:spacing w:after="120" w:before="120"/>
      <w:ind/>
      <w:jc w:val="both"/>
      <w:outlineLvl w:val="2"/>
    </w:pPr>
    <w:rPr>
      <w:rFonts w:ascii="XO Thames" w:hAnsi="XO Thames"/>
      <w:b w:val="1"/>
      <w:sz w:val="26"/>
    </w:rPr>
  </w:style>
  <w:style w:styleId="Style_12_ch" w:type="character">
    <w:name w:val="heading 3"/>
    <w:link w:val="Style_12"/>
    <w:rPr>
      <w:rFonts w:ascii="XO Thames" w:hAnsi="XO Thames"/>
      <w:b w:val="1"/>
      <w:sz w:val="26"/>
    </w:rPr>
  </w:style>
  <w:style w:styleId="Style_13" w:type="paragraph">
    <w:name w:val="ConsPlusTitle"/>
    <w:link w:val="Style_13_ch"/>
    <w:pPr>
      <w:widowControl w:val="0"/>
      <w:ind/>
    </w:pPr>
    <w:rPr>
      <w:rFonts w:ascii="Arial" w:hAnsi="Arial"/>
      <w:b w:val="1"/>
      <w:sz w:val="24"/>
    </w:rPr>
  </w:style>
  <w:style w:styleId="Style_13_ch" w:type="character">
    <w:name w:val="ConsPlusTitle"/>
    <w:link w:val="Style_13"/>
    <w:rPr>
      <w:rFonts w:ascii="Arial" w:hAnsi="Arial"/>
      <w:b w:val="1"/>
      <w:sz w:val="24"/>
    </w:rPr>
  </w:style>
  <w:style w:styleId="Style_14" w:type="paragraph">
    <w:name w:val="ConsPlusJurTerm"/>
    <w:link w:val="Style_14_ch"/>
    <w:pPr>
      <w:widowControl w:val="0"/>
      <w:ind/>
    </w:pPr>
    <w:rPr>
      <w:rFonts w:ascii="Tahoma" w:hAnsi="Tahoma"/>
      <w:sz w:val="26"/>
    </w:rPr>
  </w:style>
  <w:style w:styleId="Style_14_ch" w:type="character">
    <w:name w:val="ConsPlusJurTerm"/>
    <w:link w:val="Style_14"/>
    <w:rPr>
      <w:rFonts w:ascii="Tahoma" w:hAnsi="Tahoma"/>
      <w:sz w:val="26"/>
    </w:rPr>
  </w:style>
  <w:style w:styleId="Style_15" w:type="paragraph">
    <w:name w:val="ConsPlusTextList"/>
    <w:link w:val="Style_15_ch"/>
    <w:pPr>
      <w:widowControl w:val="0"/>
      <w:ind/>
    </w:pPr>
    <w:rPr>
      <w:rFonts w:ascii="Times New Roman" w:hAnsi="Times New Roman"/>
      <w:sz w:val="24"/>
    </w:rPr>
  </w:style>
  <w:style w:styleId="Style_15_ch" w:type="character">
    <w:name w:val="ConsPlusTextList"/>
    <w:link w:val="Style_15"/>
    <w:rPr>
      <w:rFonts w:ascii="Times New Roman" w:hAnsi="Times New Roman"/>
      <w:sz w:val="24"/>
    </w:rPr>
  </w:style>
  <w:style w:styleId="Style_16" w:type="paragraph">
    <w:name w:val="ConsPlusTextList"/>
    <w:link w:val="Style_16_ch"/>
    <w:pPr>
      <w:widowControl w:val="0"/>
      <w:ind/>
    </w:pPr>
    <w:rPr>
      <w:rFonts w:ascii="Times New Roman" w:hAnsi="Times New Roman"/>
      <w:sz w:val="24"/>
    </w:rPr>
  </w:style>
  <w:style w:styleId="Style_16_ch" w:type="character">
    <w:name w:val="ConsPlusTextList"/>
    <w:link w:val="Style_16"/>
    <w:rPr>
      <w:rFonts w:ascii="Times New Roman" w:hAnsi="Times New Roman"/>
      <w:sz w:val="24"/>
    </w:rPr>
  </w:style>
  <w:style w:styleId="Style_17" w:type="paragraph">
    <w:name w:val="toc 3"/>
    <w:next w:val="Style_5"/>
    <w:link w:val="Style_17_ch"/>
    <w:uiPriority w:val="39"/>
    <w:pPr>
      <w:ind w:firstLine="0" w:left="400"/>
      <w:jc w:val="left"/>
    </w:pPr>
    <w:rPr>
      <w:rFonts w:ascii="XO Thames" w:hAnsi="XO Thames"/>
      <w:sz w:val="28"/>
    </w:rPr>
  </w:style>
  <w:style w:styleId="Style_17_ch" w:type="character">
    <w:name w:val="toc 3"/>
    <w:link w:val="Style_17"/>
    <w:rPr>
      <w:rFonts w:ascii="XO Thames" w:hAnsi="XO Thames"/>
      <w:sz w:val="28"/>
    </w:rPr>
  </w:style>
  <w:style w:styleId="Style_18" w:type="paragraph">
    <w:name w:val="ConsPlusCell"/>
    <w:link w:val="Style_18_ch"/>
    <w:pPr>
      <w:widowControl w:val="0"/>
      <w:ind/>
    </w:pPr>
    <w:rPr>
      <w:rFonts w:ascii="Courier New" w:hAnsi="Courier New"/>
      <w:sz w:val="20"/>
    </w:rPr>
  </w:style>
  <w:style w:styleId="Style_18_ch" w:type="character">
    <w:name w:val="ConsPlusCell"/>
    <w:link w:val="Style_18"/>
    <w:rPr>
      <w:rFonts w:ascii="Courier New" w:hAnsi="Courier New"/>
      <w:sz w:val="20"/>
    </w:rPr>
  </w:style>
  <w:style w:styleId="Style_19" w:type="paragraph">
    <w:name w:val="heading 5"/>
    <w:next w:val="Style_5"/>
    <w:link w:val="Style_19_ch"/>
    <w:uiPriority w:val="9"/>
    <w:qFormat/>
    <w:pPr>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0" w:type="paragraph">
    <w:name w:val="heading 1"/>
    <w:next w:val="Style_5"/>
    <w:link w:val="Style_20_ch"/>
    <w:uiPriority w:val="9"/>
    <w:qFormat/>
    <w:pPr>
      <w:spacing w:after="120" w:before="120"/>
      <w:ind/>
      <w:jc w:val="both"/>
      <w:outlineLvl w:val="0"/>
    </w:pPr>
    <w:rPr>
      <w:rFonts w:ascii="XO Thames" w:hAnsi="XO Thames"/>
      <w:b w:val="1"/>
      <w:sz w:val="32"/>
    </w:rPr>
  </w:style>
  <w:style w:styleId="Style_20_ch" w:type="character">
    <w:name w:val="heading 1"/>
    <w:link w:val="Style_20"/>
    <w:rPr>
      <w:rFonts w:ascii="XO Thames" w:hAnsi="XO Thames"/>
      <w:b w:val="1"/>
      <w:sz w:val="32"/>
    </w:rPr>
  </w:style>
  <w:style w:styleId="Style_21" w:type="paragraph">
    <w:name w:val="ConsPlusTitlePage"/>
    <w:link w:val="Style_21_ch"/>
    <w:pPr>
      <w:widowControl w:val="0"/>
      <w:ind/>
    </w:pPr>
    <w:rPr>
      <w:rFonts w:ascii="Tahoma" w:hAnsi="Tahoma"/>
      <w:sz w:val="20"/>
    </w:rPr>
  </w:style>
  <w:style w:styleId="Style_21_ch" w:type="character">
    <w:name w:val="ConsPlusTitlePage"/>
    <w:link w:val="Style_21"/>
    <w:rPr>
      <w:rFonts w:ascii="Tahoma" w:hAnsi="Tahoma"/>
      <w:sz w:val="20"/>
    </w:rPr>
  </w:style>
  <w:style w:styleId="Style_3" w:type="paragraph">
    <w:name w:val="ConsPlusTitle"/>
    <w:link w:val="Style_3_ch"/>
    <w:pPr>
      <w:widowControl w:val="0"/>
      <w:ind/>
    </w:pPr>
    <w:rPr>
      <w:rFonts w:ascii="Arial" w:hAnsi="Arial"/>
      <w:b w:val="1"/>
      <w:sz w:val="24"/>
    </w:rPr>
  </w:style>
  <w:style w:styleId="Style_3_ch" w:type="character">
    <w:name w:val="ConsPlusTitle"/>
    <w:link w:val="Style_3"/>
    <w:rPr>
      <w:rFonts w:ascii="Arial" w:hAnsi="Arial"/>
      <w:b w:val="1"/>
      <w:sz w:val="24"/>
    </w:rPr>
  </w:style>
  <w:style w:styleId="Style_22" w:type="paragraph">
    <w:name w:val="ConsPlusCell"/>
    <w:link w:val="Style_22_ch"/>
    <w:pPr>
      <w:widowControl w:val="0"/>
      <w:ind/>
    </w:pPr>
    <w:rPr>
      <w:rFonts w:ascii="Courier New" w:hAnsi="Courier New"/>
      <w:sz w:val="20"/>
    </w:rPr>
  </w:style>
  <w:style w:styleId="Style_22_ch" w:type="character">
    <w:name w:val="ConsPlusCell"/>
    <w:link w:val="Style_22"/>
    <w:rPr>
      <w:rFonts w:ascii="Courier New" w:hAnsi="Courier New"/>
      <w:sz w:val="20"/>
    </w:rPr>
  </w:style>
  <w:style w:styleId="Style_23" w:type="paragraph">
    <w:name w:val="Hyperlink"/>
    <w:link w:val="Style_23_ch"/>
    <w:rPr>
      <w:color w:val="0000FF"/>
      <w:u w:val="single"/>
    </w:rPr>
  </w:style>
  <w:style w:styleId="Style_23_ch" w:type="character">
    <w:name w:val="Hyperlink"/>
    <w:link w:val="Style_23"/>
    <w:rPr>
      <w:color w:val="0000FF"/>
      <w:u w:val="single"/>
    </w:rPr>
  </w:style>
  <w:style w:styleId="Style_24" w:type="paragraph">
    <w:name w:val="Footnote"/>
    <w:link w:val="Style_24_ch"/>
    <w:pPr>
      <w:ind w:firstLine="851" w:left="0"/>
      <w:jc w:val="both"/>
    </w:pPr>
    <w:rPr>
      <w:rFonts w:ascii="XO Thames" w:hAnsi="XO Thames"/>
      <w:sz w:val="22"/>
    </w:rPr>
  </w:style>
  <w:style w:styleId="Style_24_ch" w:type="character">
    <w:name w:val="Footnote"/>
    <w:link w:val="Style_24"/>
    <w:rPr>
      <w:rFonts w:ascii="XO Thames" w:hAnsi="XO Thames"/>
      <w:sz w:val="22"/>
    </w:rPr>
  </w:style>
  <w:style w:styleId="Style_25" w:type="paragraph">
    <w:name w:val="toc 1"/>
    <w:next w:val="Style_5"/>
    <w:link w:val="Style_25_ch"/>
    <w:uiPriority w:val="39"/>
    <w:pPr>
      <w:ind w:firstLine="0" w:left="0"/>
      <w:jc w:val="left"/>
    </w:pPr>
    <w:rPr>
      <w:rFonts w:ascii="XO Thames" w:hAnsi="XO Thames"/>
      <w:b w:val="1"/>
      <w:sz w:val="28"/>
    </w:rPr>
  </w:style>
  <w:style w:styleId="Style_25_ch" w:type="character">
    <w:name w:val="toc 1"/>
    <w:link w:val="Style_25"/>
    <w:rPr>
      <w:rFonts w:ascii="XO Thames" w:hAnsi="XO Thames"/>
      <w:b w:val="1"/>
      <w:sz w:val="28"/>
    </w:rPr>
  </w:style>
  <w:style w:styleId="Style_26" w:type="paragraph">
    <w:name w:val="Header and Footer"/>
    <w:link w:val="Style_26_ch"/>
    <w:pPr>
      <w:spacing w:line="240" w:lineRule="auto"/>
      <w:ind/>
      <w:jc w:val="both"/>
    </w:pPr>
    <w:rPr>
      <w:rFonts w:ascii="XO Thames" w:hAnsi="XO Thames"/>
      <w:sz w:val="28"/>
    </w:rPr>
  </w:style>
  <w:style w:styleId="Style_26_ch" w:type="character">
    <w:name w:val="Header and Footer"/>
    <w:link w:val="Style_26"/>
    <w:rPr>
      <w:rFonts w:ascii="XO Thames" w:hAnsi="XO Thames"/>
      <w:sz w:val="28"/>
    </w:rPr>
  </w:style>
  <w:style w:styleId="Style_27" w:type="paragraph">
    <w:name w:val="toc 9"/>
    <w:next w:val="Style_5"/>
    <w:link w:val="Style_27_ch"/>
    <w:uiPriority w:val="39"/>
    <w:pPr>
      <w:ind w:firstLine="0" w:left="1600"/>
      <w:jc w:val="left"/>
    </w:pPr>
    <w:rPr>
      <w:rFonts w:ascii="XO Thames" w:hAnsi="XO Thames"/>
      <w:sz w:val="28"/>
    </w:rPr>
  </w:style>
  <w:style w:styleId="Style_27_ch" w:type="character">
    <w:name w:val="toc 9"/>
    <w:link w:val="Style_27"/>
    <w:rPr>
      <w:rFonts w:ascii="XO Thames" w:hAnsi="XO Thames"/>
      <w:sz w:val="28"/>
    </w:rPr>
  </w:style>
  <w:style w:styleId="Style_28" w:type="paragraph">
    <w:name w:val="ConsPlusJurTerm"/>
    <w:link w:val="Style_28_ch"/>
    <w:pPr>
      <w:widowControl w:val="0"/>
      <w:ind/>
    </w:pPr>
    <w:rPr>
      <w:rFonts w:ascii="Tahoma" w:hAnsi="Tahoma"/>
      <w:sz w:val="26"/>
    </w:rPr>
  </w:style>
  <w:style w:styleId="Style_28_ch" w:type="character">
    <w:name w:val="ConsPlusJurTerm"/>
    <w:link w:val="Style_28"/>
    <w:rPr>
      <w:rFonts w:ascii="Tahoma" w:hAnsi="Tahoma"/>
      <w:sz w:val="26"/>
    </w:rPr>
  </w:style>
  <w:style w:styleId="Style_29" w:type="paragraph">
    <w:name w:val="toc 8"/>
    <w:next w:val="Style_5"/>
    <w:link w:val="Style_29_ch"/>
    <w:uiPriority w:val="39"/>
    <w:pPr>
      <w:ind w:firstLine="0" w:left="1400"/>
      <w:jc w:val="left"/>
    </w:pPr>
    <w:rPr>
      <w:rFonts w:ascii="XO Thames" w:hAnsi="XO Thames"/>
      <w:sz w:val="28"/>
    </w:rPr>
  </w:style>
  <w:style w:styleId="Style_29_ch" w:type="character">
    <w:name w:val="toc 8"/>
    <w:link w:val="Style_29"/>
    <w:rPr>
      <w:rFonts w:ascii="XO Thames" w:hAnsi="XO Thames"/>
      <w:sz w:val="28"/>
    </w:rPr>
  </w:style>
  <w:style w:styleId="Style_30" w:type="paragraph">
    <w:name w:val="ConsPlusJurTerm"/>
    <w:link w:val="Style_30_ch"/>
    <w:pPr>
      <w:widowControl w:val="0"/>
      <w:ind/>
    </w:pPr>
    <w:rPr>
      <w:rFonts w:ascii="Tahoma" w:hAnsi="Tahoma"/>
      <w:sz w:val="26"/>
    </w:rPr>
  </w:style>
  <w:style w:styleId="Style_30_ch" w:type="character">
    <w:name w:val="ConsPlusJurTerm"/>
    <w:link w:val="Style_30"/>
    <w:rPr>
      <w:rFonts w:ascii="Tahoma" w:hAnsi="Tahoma"/>
      <w:sz w:val="26"/>
    </w:rPr>
  </w:style>
  <w:style w:styleId="Style_31" w:type="paragraph">
    <w:name w:val="toc 5"/>
    <w:next w:val="Style_5"/>
    <w:link w:val="Style_31_ch"/>
    <w:uiPriority w:val="39"/>
    <w:pPr>
      <w:ind w:firstLine="0" w:left="800"/>
      <w:jc w:val="left"/>
    </w:pPr>
    <w:rPr>
      <w:rFonts w:ascii="XO Thames" w:hAnsi="XO Thames"/>
      <w:sz w:val="28"/>
    </w:rPr>
  </w:style>
  <w:style w:styleId="Style_31_ch" w:type="character">
    <w:name w:val="toc 5"/>
    <w:link w:val="Style_31"/>
    <w:rPr>
      <w:rFonts w:ascii="XO Thames" w:hAnsi="XO Thames"/>
      <w:sz w:val="28"/>
    </w:rPr>
  </w:style>
  <w:style w:styleId="Style_32" w:type="paragraph">
    <w:name w:val="ConsPlusDocList"/>
    <w:link w:val="Style_32_ch"/>
    <w:pPr>
      <w:widowControl w:val="0"/>
      <w:ind/>
    </w:pPr>
    <w:rPr>
      <w:rFonts w:ascii="Tahoma" w:hAnsi="Tahoma"/>
      <w:sz w:val="18"/>
    </w:rPr>
  </w:style>
  <w:style w:styleId="Style_32_ch" w:type="character">
    <w:name w:val="ConsPlusDocList"/>
    <w:link w:val="Style_32"/>
    <w:rPr>
      <w:rFonts w:ascii="Tahoma" w:hAnsi="Tahoma"/>
      <w:sz w:val="18"/>
    </w:rPr>
  </w:style>
  <w:style w:styleId="Style_33" w:type="paragraph">
    <w:name w:val="ConsPlusNonformat"/>
    <w:link w:val="Style_33_ch"/>
    <w:pPr>
      <w:widowControl w:val="0"/>
      <w:ind/>
    </w:pPr>
    <w:rPr>
      <w:rFonts w:ascii="Courier New" w:hAnsi="Courier New"/>
      <w:sz w:val="20"/>
    </w:rPr>
  </w:style>
  <w:style w:styleId="Style_33_ch" w:type="character">
    <w:name w:val="ConsPlusNonformat"/>
    <w:link w:val="Style_33"/>
    <w:rPr>
      <w:rFonts w:ascii="Courier New" w:hAnsi="Courier New"/>
      <w:sz w:val="20"/>
    </w:rPr>
  </w:style>
  <w:style w:styleId="Style_34" w:type="paragraph">
    <w:name w:val="Subtitle"/>
    <w:next w:val="Style_5"/>
    <w:link w:val="Style_34_ch"/>
    <w:uiPriority w:val="11"/>
    <w:qFormat/>
    <w:pPr>
      <w:ind/>
      <w:jc w:val="both"/>
    </w:pPr>
    <w:rPr>
      <w:rFonts w:ascii="XO Thames" w:hAnsi="XO Thames"/>
      <w:i w:val="1"/>
      <w:sz w:val="24"/>
    </w:rPr>
  </w:style>
  <w:style w:styleId="Style_34_ch" w:type="character">
    <w:name w:val="Subtitle"/>
    <w:link w:val="Style_34"/>
    <w:rPr>
      <w:rFonts w:ascii="XO Thames" w:hAnsi="XO Thames"/>
      <w:i w:val="1"/>
      <w:sz w:val="24"/>
    </w:rPr>
  </w:style>
  <w:style w:styleId="Style_35" w:type="paragraph">
    <w:name w:val="ConsPlusTextList"/>
    <w:link w:val="Style_35_ch"/>
    <w:pPr>
      <w:widowControl w:val="0"/>
      <w:ind/>
    </w:pPr>
    <w:rPr>
      <w:rFonts w:ascii="Times New Roman" w:hAnsi="Times New Roman"/>
      <w:sz w:val="24"/>
    </w:rPr>
  </w:style>
  <w:style w:styleId="Style_35_ch" w:type="character">
    <w:name w:val="ConsPlusTextList"/>
    <w:link w:val="Style_35"/>
    <w:rPr>
      <w:rFonts w:ascii="Times New Roman" w:hAnsi="Times New Roman"/>
      <w:sz w:val="24"/>
    </w:rPr>
  </w:style>
  <w:style w:styleId="Style_36" w:type="paragraph">
    <w:name w:val="Title"/>
    <w:next w:val="Style_5"/>
    <w:link w:val="Style_36_ch"/>
    <w:uiPriority w:val="10"/>
    <w:qFormat/>
    <w:pPr>
      <w:spacing w:after="567" w:before="567"/>
      <w:ind/>
      <w:jc w:val="center"/>
    </w:pPr>
    <w:rPr>
      <w:rFonts w:ascii="XO Thames" w:hAnsi="XO Thames"/>
      <w:b w:val="1"/>
      <w:caps w:val="1"/>
      <w:sz w:val="40"/>
    </w:rPr>
  </w:style>
  <w:style w:styleId="Style_36_ch" w:type="character">
    <w:name w:val="Title"/>
    <w:link w:val="Style_36"/>
    <w:rPr>
      <w:rFonts w:ascii="XO Thames" w:hAnsi="XO Thames"/>
      <w:b w:val="1"/>
      <w:caps w:val="1"/>
      <w:sz w:val="40"/>
    </w:rPr>
  </w:style>
  <w:style w:styleId="Style_37" w:type="paragraph">
    <w:name w:val="heading 4"/>
    <w:next w:val="Style_5"/>
    <w:link w:val="Style_37_ch"/>
    <w:uiPriority w:val="9"/>
    <w:qFormat/>
    <w:pPr>
      <w:spacing w:after="120" w:before="120"/>
      <w:ind/>
      <w:jc w:val="both"/>
      <w:outlineLvl w:val="3"/>
    </w:pPr>
    <w:rPr>
      <w:rFonts w:ascii="XO Thames" w:hAnsi="XO Thames"/>
      <w:b w:val="1"/>
      <w:sz w:val="24"/>
    </w:rPr>
  </w:style>
  <w:style w:styleId="Style_37_ch" w:type="character">
    <w:name w:val="heading 4"/>
    <w:link w:val="Style_37"/>
    <w:rPr>
      <w:rFonts w:ascii="XO Thames" w:hAnsi="XO Thames"/>
      <w:b w:val="1"/>
      <w:sz w:val="24"/>
    </w:rPr>
  </w:style>
  <w:style w:styleId="Style_38" w:type="paragraph">
    <w:name w:val="heading 2"/>
    <w:next w:val="Style_5"/>
    <w:link w:val="Style_38_ch"/>
    <w:uiPriority w:val="9"/>
    <w:qFormat/>
    <w:pPr>
      <w:spacing w:after="120" w:before="120"/>
      <w:ind/>
      <w:jc w:val="both"/>
      <w:outlineLvl w:val="1"/>
    </w:pPr>
    <w:rPr>
      <w:rFonts w:ascii="XO Thames" w:hAnsi="XO Thames"/>
      <w:b w:val="1"/>
      <w:sz w:val="28"/>
    </w:rPr>
  </w:style>
  <w:style w:styleId="Style_38_ch" w:type="character">
    <w:name w:val="heading 2"/>
    <w:link w:val="Style_38"/>
    <w:rPr>
      <w:rFonts w:ascii="XO Thames" w:hAnsi="XO Thames"/>
      <w:b w:val="1"/>
      <w:sz w:val="28"/>
    </w:rPr>
  </w:style>
  <w:style w:styleId="Style_39" w:type="paragraph">
    <w:name w:val="ConsPlusNonformat"/>
    <w:link w:val="Style_39_ch"/>
    <w:pPr>
      <w:widowControl w:val="0"/>
      <w:ind/>
    </w:pPr>
    <w:rPr>
      <w:rFonts w:ascii="Courier New" w:hAnsi="Courier New"/>
      <w:sz w:val="20"/>
    </w:rPr>
  </w:style>
  <w:style w:styleId="Style_39_ch" w:type="character">
    <w:name w:val="ConsPlusNonformat"/>
    <w:link w:val="Style_39"/>
    <w:rPr>
      <w:rFonts w:ascii="Courier New" w:hAnsi="Courier New"/>
      <w:sz w:val="20"/>
    </w:rPr>
  </w:style>
  <w:style w:styleId="Style_40" w:type="paragraph">
    <w:name w:val="ConsPlusDocList"/>
    <w:link w:val="Style_40_ch"/>
    <w:pPr>
      <w:widowControl w:val="0"/>
      <w:ind/>
    </w:pPr>
    <w:rPr>
      <w:rFonts w:ascii="Tahoma" w:hAnsi="Tahoma"/>
      <w:sz w:val="18"/>
    </w:rPr>
  </w:style>
  <w:style w:styleId="Style_40_ch" w:type="character">
    <w:name w:val="ConsPlusDocList"/>
    <w:link w:val="Style_40"/>
    <w:rPr>
      <w:rFonts w:ascii="Tahoma" w:hAnsi="Tahoma"/>
      <w:sz w:val="18"/>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fontTable.xml" Type="http://schemas.openxmlformats.org/officeDocument/2006/relationships/fontTable"/>
  <Relationship Id="rId1" Target="header1.xml" Type="http://schemas.openxmlformats.org/officeDocument/2006/relationships/header"/>
  <Relationship Id="rId10" Target="webSettings.xml" Type="http://schemas.openxmlformats.org/officeDocument/2006/relationships/webSettings"/>
  <Relationship Id="rId2" Target="footer2.xml" Type="http://schemas.openxmlformats.org/officeDocument/2006/relationships/footer"/>
  <Relationship Id="rId3" Target="header3.xml" Type="http://schemas.openxmlformats.org/officeDocument/2006/relationships/header"/>
  <Relationship Id="rId8" Target="styles.xml" Type="http://schemas.openxmlformats.org/officeDocument/2006/relationships/styles"/>
  <Relationship Id="rId4" Target="footer4.xml" Type="http://schemas.openxmlformats.org/officeDocument/2006/relationships/footer"/>
  <Relationship Id="rId11" Target="theme/theme1.xml" Type="http://schemas.openxmlformats.org/officeDocument/2006/relationships/theme"/>
  <Relationship Id="rId9" Target="stylesWithEffects.xml" Type="http://schemas.microsoft.com/office/2007/relationships/stylesWithEffects"/>
  <Relationship Id="rId7" Target="settings.xml" Type="http://schemas.openxmlformats.org/officeDocument/2006/relationships/settings"/>
  <Relationship Id="rId5" Target="media/1.png" Type="http://schemas.openxmlformats.org/officeDocument/2006/relationships/image"/>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63000"/>
                <a:satMod val="300000"/>
              </a:schemeClr>
            </a:gs>
            <a:gs pos="100000">
              <a:schemeClr val="phClr">
                <a:tint val="8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6350">
          <a:solidFill>
            <a:schemeClr val="phClr">
              <a:shade val="95000"/>
              <a:satMod val="105000"/>
            </a:scheme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60000"/>
                <a:satMod val="350000"/>
              </a:schemeClr>
            </a:gs>
            <a:gs pos="40000">
              <a:schemeClr val="phClr">
                <a:tint val="55000"/>
                <a:shade val="99000"/>
                <a:satMod val="350000"/>
              </a:schemeClr>
            </a:gs>
            <a:gs pos="100000">
              <a:schemeClr val="phClr">
                <a:shade val="20000"/>
                <a:satMod val="255000"/>
              </a:schemeClr>
            </a:gs>
          </a:gsLst>
        </a:gradFill>
        <a:gradFill>
          <a:gsLst>
            <a:gs pos="0">
              <a:schemeClr val="phClr">
                <a:tint val="2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MyOffice-CoreFramework-Linux/37-1367.1091.10011.1001.1@92c86c4fc59398dd64f1786b019b76a317813c64</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2026-08-21T07:02:42Z</dcterms:created>
  <dcterms:modified xsi:type="dcterms:W3CDTF">2026-08-21T07:02:42Z</dcterms:modified>
</cp:coreProperties>
</file>