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both"/>
        <w:outlineLvl w:val="0"/>
      </w:pPr>
    </w:p>
    <w:p w14:paraId="14000000">
      <w:pPr>
        <w:pStyle w:val="Style_2"/>
        <w:widowControl w:val="1"/>
        <w:ind/>
        <w:jc w:val="center"/>
      </w:pPr>
      <w:r>
        <w:rPr>
          <w:sz w:val="24"/>
        </w:rPr>
        <w:t>ГОСУДАРСТВЕННАЯ КОРПОРАЦИЯ ПО АТОМНОЙ ЭНЕРГИИ "РОСАТОМ"</w:t>
      </w:r>
    </w:p>
    <w:p w14:paraId="15000000">
      <w:pPr>
        <w:pStyle w:val="Style_2"/>
        <w:widowControl w:val="1"/>
        <w:ind/>
        <w:jc w:val="center"/>
      </w:pPr>
      <w:r>
        <w:rPr>
          <w:sz w:val="24"/>
        </w:rPr>
        <w:t>(Госкорпорация "Росатом")</w:t>
      </w:r>
    </w:p>
    <w:p w14:paraId="16000000">
      <w:pPr>
        <w:pStyle w:val="Style_2"/>
        <w:widowControl w:val="1"/>
        <w:ind/>
        <w:jc w:val="center"/>
      </w:pPr>
    </w:p>
    <w:p w14:paraId="17000000">
      <w:pPr>
        <w:pStyle w:val="Style_2"/>
        <w:widowControl w:val="1"/>
        <w:ind/>
        <w:jc w:val="center"/>
      </w:pPr>
      <w:r>
        <w:rPr>
          <w:sz w:val="24"/>
        </w:rPr>
        <w:t>ПРИКАЗ</w:t>
      </w:r>
    </w:p>
    <w:p w14:paraId="18000000">
      <w:pPr>
        <w:pStyle w:val="Style_2"/>
        <w:widowControl w:val="1"/>
        <w:ind/>
        <w:jc w:val="center"/>
      </w:pPr>
      <w:r>
        <w:rPr>
          <w:sz w:val="24"/>
        </w:rPr>
        <w:t>18 апреля 2017 г. N 1/333-П</w:t>
      </w:r>
    </w:p>
    <w:p w14:paraId="19000000">
      <w:pPr>
        <w:pStyle w:val="Style_2"/>
        <w:widowControl w:val="1"/>
        <w:ind/>
        <w:jc w:val="center"/>
      </w:pP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ОБ УСТАНОВЛЕНИИ ЗАПРЕТА</w:t>
      </w:r>
    </w:p>
    <w:p w14:paraId="1B000000">
      <w:pPr>
        <w:pStyle w:val="Style_2"/>
        <w:widowControl w:val="1"/>
        <w:ind/>
        <w:jc w:val="center"/>
      </w:pPr>
      <w:r>
        <w:rPr>
          <w:sz w:val="24"/>
        </w:rPr>
        <w:t>НА СОВМЕСТНУЮ ТРУДОВУЮ ДЕЯТЕЛЬНОСТЬ С РОДСТВЕННИКАМИ</w:t>
      </w:r>
    </w:p>
    <w:p w14:paraId="1C000000">
      <w:pPr>
        <w:pStyle w:val="Style_1"/>
        <w:widowControl w:val="1"/>
        <w:ind/>
        <w:jc w:val="center"/>
      </w:pPr>
    </w:p>
    <w:p w14:paraId="1D000000">
      <w:pPr>
        <w:pStyle w:val="Style_1"/>
        <w:widowControl w:val="1"/>
        <w:ind/>
        <w:jc w:val="center"/>
      </w:pPr>
    </w:p>
    <w:p w14:paraId="1E000000">
      <w:pPr>
        <w:pStyle w:val="Style_1"/>
        <w:widowControl w:val="1"/>
        <w:ind w:firstLine="540"/>
        <w:jc w:val="both"/>
      </w:pPr>
      <w:r>
        <w:rPr>
          <w:sz w:val="24"/>
        </w:rPr>
        <w:t xml:space="preserve">В соответствии с подпунктом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"consultantplus://offline/ref=0F715E02D58840D27224AE46B2D7C61513C1B3546B4DC9899DAA476BE970173AB7BBB129F03937A2C307FEA859FCAC904EEF6E1483E57E88W6CAI" \o "Ссылка на КонсультантПлюс"</w:instrText>
      </w:r>
      <w:r>
        <w:rPr>
          <w:sz w:val="24"/>
        </w:rPr>
        <w:fldChar w:fldCharType="separate"/>
      </w:r>
      <w:r>
        <w:rPr>
          <w:sz w:val="24"/>
        </w:rPr>
        <w:t>"б"</w:t>
      </w:r>
      <w:r>
        <w:rPr>
          <w:sz w:val="24"/>
        </w:rPr>
        <w:fldChar w:fldCharType="end"/>
      </w:r>
      <w:r>
        <w:rPr>
          <w:sz w:val="24"/>
        </w:rPr>
        <w:t xml:space="preserve"> пункта 4 постановления Правительства Российской Федерации от 28.06.2016 N 594 "О внесении изменений в некоторые акты Правительства Российской Федерации по вопросам предотвращения и урегулирования конфликта интересов" приказываю:</w:t>
      </w:r>
    </w:p>
    <w:p w14:paraId="1F000000">
      <w:pPr>
        <w:pStyle w:val="Style_1"/>
        <w:widowControl w:val="1"/>
        <w:ind w:firstLine="540"/>
        <w:jc w:val="both"/>
      </w:pPr>
    </w:p>
    <w:p w14:paraId="20000000">
      <w:pPr>
        <w:pStyle w:val="Style_1"/>
        <w:widowControl w:val="1"/>
        <w:ind w:firstLine="540"/>
        <w:jc w:val="both"/>
      </w:pPr>
      <w:bookmarkStart w:id="1" w:name="P13"/>
      <w:bookmarkEnd w:id="1"/>
      <w:r>
        <w:rPr>
          <w:sz w:val="24"/>
        </w:rPr>
        <w:t>1. Установить, что работники, замещающие должности генерального директора, первого заместителя генерального директора, заместителя генерального директора, главного бухгалтера Госкорпорации "Росатом",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Госкорпорации "Росатом",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14:paraId="2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2. Директору по персоналу Терентьевой Т.А. обеспечить:</w:t>
      </w:r>
    </w:p>
    <w:p w14:paraId="2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2.1. Внесение реквизитов настоящего приказа в перечень локальных нормативных актов Госкорпорации "Росатом", с которыми лица письменно знакомятся при приеме на работу в Госкорпорацию "Росатом".</w:t>
      </w:r>
    </w:p>
    <w:p w14:paraId="2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Срок - 5 дней с даты издания настоящего приказа.</w:t>
      </w:r>
    </w:p>
    <w:p w14:paraId="2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2.2. Ознакомление с настоящим приказом под подпись работников Госкорпорации "Росатом", замещающих должности,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"P13" \o "1. Установить, что работники, замещающие должности генерального директора, первого заместителя генерального директора, заместителя генерального директора, главного бухгалтера Госкорпорации "Росатом",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Госкорпорации "Росатом", если осуществление трудов..."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п.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приказа.</w:t>
      </w:r>
    </w:p>
    <w:p w14:paraId="2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Срок - 14 дней с даты издания настоящего приказа.</w:t>
      </w:r>
    </w:p>
    <w:p w14:paraId="26000000">
      <w:pPr>
        <w:pStyle w:val="Style_1"/>
        <w:widowControl w:val="1"/>
        <w:ind w:firstLine="540"/>
        <w:jc w:val="both"/>
      </w:pPr>
    </w:p>
    <w:p w14:paraId="27000000">
      <w:pPr>
        <w:pStyle w:val="Style_1"/>
        <w:widowControl w:val="1"/>
        <w:ind w:firstLine="540"/>
        <w:jc w:val="both"/>
      </w:pPr>
    </w:p>
    <w:p w14:paraId="28000000">
      <w:pPr>
        <w:pStyle w:val="Style_1"/>
        <w:widowControl w:val="1"/>
        <w:ind/>
        <w:jc w:val="right"/>
      </w:pPr>
      <w:r>
        <w:rPr>
          <w:sz w:val="24"/>
        </w:rPr>
        <w:t>Генеральный директор</w:t>
      </w:r>
    </w:p>
    <w:p w14:paraId="29000000">
      <w:pPr>
        <w:pStyle w:val="Style_1"/>
        <w:widowControl w:val="1"/>
        <w:ind/>
        <w:jc w:val="right"/>
      </w:pPr>
      <w:r>
        <w:rPr>
          <w:sz w:val="24"/>
        </w:rPr>
        <w:t>А.Е. ЛИХАЧЕВ</w:t>
      </w:r>
    </w:p>
    <w:p w14:paraId="2A000000">
      <w:pPr>
        <w:pStyle w:val="Style_1"/>
        <w:widowControl w:val="1"/>
        <w:ind w:firstLine="540"/>
        <w:jc w:val="both"/>
      </w:pPr>
    </w:p>
    <w:p w14:paraId="2B000000">
      <w:pPr>
        <w:pStyle w:val="Style_1"/>
        <w:widowControl w:val="1"/>
        <w:ind w:firstLine="540"/>
        <w:jc w:val="both"/>
      </w:pPr>
    </w:p>
    <w:p w14:paraId="2C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Госкорпорации "Росатом" от 18.04.2017 N 1/333-П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установлении запрета на совместную трудовую деятельность с ро...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drawing>
              <wp:inline>
                <wp:extent cx="1910715" cy="445769"/>
                <wp:effectExtent b="0" l="0" r="0" t="0"/>
                <wp:docPr hidden="false" id="1" name="Picture 1"/>
                <a:graphic>
                  <a:graphicData uri="http://schemas.openxmlformats.org/drawingml/2006/picture">
                    <pic:pic>
                      <pic:nvPicPr>
                        <pic:cNvPr hidden="false" id="2" name="Picture 2"/>
                        <pic:cNvPicPr preferRelativeResize="true"/>
                      </pic:nvPicPr>
                      <pic:blipFill>
                        <a:blip r:embed="rId1"/>
                        <a:srcRect b="0" l="0" r="0" t="0"/>
                        <a:stretch/>
                      </pic:blipFill>
                      <pic:spPr>
                        <a:xfrm flipH="false" flipV="false" rot="0">
                          <a:ext cx="1910715" cy="4457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Приказ Госкорпорации "Росатом" от 18.04.2017 N 1/333-П "Об установлении запрета на совместную трудовую деятельность с ро...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toc 2"/>
    <w:next w:val="Style_4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5" w:type="paragraph">
    <w:name w:val="toc 4"/>
    <w:next w:val="Style_4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4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4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4" w:type="paragraph">
    <w:name w:val="Normal"/>
    <w:link w:val="Style_4_ch"/>
    <w:uiPriority w:val="0"/>
    <w:qFormat/>
  </w:style>
  <w:style w:styleId="Style_4_ch" w:type="character">
    <w:name w:val="Normal"/>
    <w:link w:val="Style_4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TitlePage"/>
    <w:link w:val="Style_10_ch"/>
    <w:pPr>
      <w:widowControl w:val="0"/>
      <w:ind/>
    </w:pPr>
    <w:rPr>
      <w:rFonts w:ascii="Tahoma" w:hAnsi="Tahoma"/>
      <w:sz w:val="20"/>
    </w:rPr>
  </w:style>
  <w:style w:styleId="Style_10_ch" w:type="character">
    <w:name w:val="ConsPlusTitlePage"/>
    <w:link w:val="Style_10"/>
    <w:rPr>
      <w:rFonts w:ascii="Tahoma" w:hAnsi="Tahoma"/>
      <w:sz w:val="20"/>
    </w:rPr>
  </w:style>
  <w:style w:styleId="Style_11" w:type="paragraph">
    <w:name w:val="ConsPlusNonformat"/>
    <w:link w:val="Style_11_ch"/>
    <w:pPr>
      <w:widowControl w:val="0"/>
      <w:ind/>
    </w:pPr>
    <w:rPr>
      <w:rFonts w:ascii="Courier New" w:hAnsi="Courier New"/>
      <w:sz w:val="20"/>
    </w:rPr>
  </w:style>
  <w:style w:styleId="Style_11_ch" w:type="character">
    <w:name w:val="ConsPlusNonformat"/>
    <w:link w:val="Style_11"/>
    <w:rPr>
      <w:rFonts w:ascii="Courier New" w:hAnsi="Courier New"/>
      <w:sz w:val="20"/>
    </w:rPr>
  </w:style>
  <w:style w:styleId="Style_12" w:type="paragraph">
    <w:name w:val="ConsPlusJurTerm"/>
    <w:link w:val="Style_12_ch"/>
    <w:pPr>
      <w:widowControl w:val="0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TextList"/>
    <w:link w:val="Style_14_ch"/>
    <w:pPr>
      <w:widowControl w:val="0"/>
      <w:ind/>
    </w:pPr>
    <w:rPr>
      <w:rFonts w:ascii="Times New Roman" w:hAnsi="Times New Roman"/>
      <w:sz w:val="24"/>
    </w:rPr>
  </w:style>
  <w:style w:styleId="Style_14_ch" w:type="character">
    <w:name w:val="ConsPlusTextList"/>
    <w:link w:val="Style_14"/>
    <w:rPr>
      <w:rFonts w:ascii="Times New Roman" w:hAnsi="Times New Roman"/>
      <w:sz w:val="24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ConsPlusJurTerm"/>
    <w:link w:val="Style_21_ch"/>
    <w:pPr>
      <w:widowControl w:val="0"/>
      <w:ind/>
    </w:pPr>
    <w:rPr>
      <w:rFonts w:ascii="Tahoma" w:hAnsi="Tahoma"/>
      <w:sz w:val="26"/>
    </w:rPr>
  </w:style>
  <w:style w:styleId="Style_21_ch" w:type="character">
    <w:name w:val="ConsPlusJurTerm"/>
    <w:link w:val="Style_21"/>
    <w:rPr>
      <w:rFonts w:ascii="Tahoma" w:hAnsi="Tahoma"/>
      <w:sz w:val="26"/>
    </w:rPr>
  </w:style>
  <w:style w:styleId="Style_22" w:type="paragraph">
    <w:name w:val="ConsPlusCell"/>
    <w:link w:val="Style_22_ch"/>
    <w:pPr>
      <w:widowControl w:val="0"/>
      <w:ind/>
    </w:pPr>
    <w:rPr>
      <w:rFonts w:ascii="Courier New" w:hAnsi="Courier New"/>
      <w:sz w:val="20"/>
    </w:rPr>
  </w:style>
  <w:style w:styleId="Style_22_ch" w:type="character">
    <w:name w:val="ConsPlusCell"/>
    <w:link w:val="Style_22"/>
    <w:rPr>
      <w:rFonts w:ascii="Courier New" w:hAnsi="Courier New"/>
      <w:sz w:val="20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ConsPlusDocList"/>
    <w:link w:val="Style_25_ch"/>
    <w:pPr>
      <w:widowControl w:val="0"/>
      <w:ind/>
    </w:pPr>
    <w:rPr>
      <w:rFonts w:ascii="Tahoma" w:hAnsi="Tahoma"/>
      <w:sz w:val="18"/>
    </w:rPr>
  </w:style>
  <w:style w:styleId="Style_25_ch" w:type="character">
    <w:name w:val="ConsPlusDocList"/>
    <w:link w:val="Style_25"/>
    <w:rPr>
      <w:rFonts w:ascii="Tahoma" w:hAnsi="Tahoma"/>
      <w:sz w:val="18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ConsPlusTextList"/>
    <w:link w:val="Style_28_ch"/>
    <w:pPr>
      <w:widowControl w:val="0"/>
      <w:ind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header3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2026-08-21T08:02:33Z</dcterms:created>
  <dcterms:modified xsi:type="dcterms:W3CDTF">2026-08-21T08:02:33Z</dcterms:modified>
</cp:coreProperties>
</file>