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footer+xml" PartName="/word/footer8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header+xml" PartName="/word/header7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W w:type="auto" w:w="0"/>
        <w:tblInd w:type="dxa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10716"/>
      </w:tblGrid>
      <w:tr>
        <w:trPr>
          <w:trHeight w:hRule="exact" w:val="3031"/>
        </w:trPr>
        <w:tc>
          <w:tcPr>
            <w:tcW w:type="dxa" w:w="1071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 w14:paraId="25000000">
            <w:pPr>
              <w:pStyle w:val="Style_1"/>
            </w:pPr>
            <w:r>
              <w:drawing>
                <wp:inline>
                  <wp:extent cx="3810000" cy="904875"/>
                  <wp:effectExtent b="0" l="0" r="0" t="0"/>
                  <wp:docPr hidden="false" id="1" name="Picture 1"/>
                  <a:graphic>
                    <a:graphicData uri="http://schemas.openxmlformats.org/drawingml/2006/picture">
                      <pic:pic>
                        <pic:nvPicPr>
                          <pic:cNvPr hidden="false" id="2" name="Picture 2"/>
                          <pic:cNvPicPr preferRelativeResize="true"/>
                        </pic:nvPicPr>
                        <pic:blipFill>
                          <a:blip r:embed="rId9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3810000" cy="90487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hRule="exact" w:val="8335"/>
        </w:trPr>
        <w:tc>
          <w:tcPr>
            <w:tcW w:type="dxa" w:w="1071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 w14:paraId="26000000">
            <w:pPr>
              <w:pStyle w:val="Style_1"/>
              <w:widowControl w:val="1"/>
              <w:ind/>
              <w:jc w:val="center"/>
            </w:pPr>
            <w:r>
              <w:rPr>
                <w:sz w:val="48"/>
              </w:rPr>
              <w:t>Приказ Госкорпорации "Росатом" от 24.03.2026 N 1/481-П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"Об утверждении Плана первоочередных мероприятий по противодействию коррупции Государственной корпорации по атомной энергии "Росатом" на 2026 год"</w:t>
            </w:r>
          </w:p>
        </w:tc>
      </w:tr>
      <w:tr>
        <w:trPr>
          <w:trHeight w:hRule="exact" w:val="3031"/>
        </w:trPr>
        <w:tc>
          <w:tcPr>
            <w:tcW w:type="dxa" w:w="1071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 w14:paraId="27000000">
            <w:pPr>
              <w:pStyle w:val="Style_1"/>
              <w:widowControl w:val="1"/>
              <w:ind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r>
              <w:rPr>
                <w:b w:val="1"/>
                <w:color w:val="0000FF"/>
                <w:sz w:val="28"/>
              </w:rPr>
              <w:fldChar w:fldCharType="begin"/>
            </w:r>
            <w:r>
              <w:rPr>
                <w:b w:val="1"/>
                <w:color w:val="0000FF"/>
                <w:sz w:val="28"/>
              </w:rPr>
              <w:instrText>HYPERLINK "https://www.consultant.ru" \o "Ссылка на КонсультантПлюс"</w:instrText>
            </w:r>
            <w:r>
              <w:rPr>
                <w:b w:val="1"/>
                <w:color w:val="0000FF"/>
                <w:sz w:val="28"/>
              </w:rPr>
              <w:fldChar w:fldCharType="separate"/>
            </w:r>
            <w:r>
              <w:rPr>
                <w:b w:val="1"/>
                <w:color w:val="0000FF"/>
                <w:sz w:val="28"/>
              </w:rPr>
              <w:t>КонсультантПлюс</w:t>
            </w:r>
            <w:r>
              <w:rPr>
                <w:b w:val="1"/>
                <w:color w:val="0000FF"/>
                <w:sz w:val="28"/>
              </w:rPr>
              <w:br/>
            </w:r>
            <w:r>
              <w:rPr>
                <w:b w:val="1"/>
                <w:color w:val="0000FF"/>
                <w:sz w:val="28"/>
              </w:rPr>
              <w:br/>
            </w:r>
            <w:r>
              <w:rPr>
                <w:b w:val="1"/>
                <w:color w:val="0000FF"/>
                <w:sz w:val="28"/>
              </w:rPr>
              <w:t>www.consultant.ru</w:t>
            </w:r>
            <w:r>
              <w:rPr>
                <w:b w:val="1"/>
                <w:color w:val="0000FF"/>
                <w:sz w:val="28"/>
              </w:rPr>
              <w:fldChar w:fldCharType="end"/>
            </w:r>
            <w:r>
              <w:rPr>
                <w:sz w:val="28"/>
              </w:rPr>
              <w:br/>
            </w:r>
            <w:r>
              <w:rPr>
                <w:sz w:val="28"/>
              </w:rPr>
              <w:br/>
            </w:r>
            <w:r>
              <w:rPr>
                <w:sz w:val="28"/>
              </w:rPr>
              <w:t>Дата сохранения: 21.08.2026</w:t>
            </w:r>
            <w:r>
              <w:rPr>
                <w:sz w:val="28"/>
              </w:rPr>
              <w:br/>
            </w:r>
            <w:r>
              <w:rPr>
                <w:sz w:val="28"/>
              </w:rPr>
              <w:t> </w:t>
            </w:r>
          </w:p>
        </w:tc>
      </w:tr>
    </w:tbl>
    <w:p w14:paraId="28000000">
      <w:pPr>
        <w:sectPr>
          <w:pgSz w:h="16838" w:orient="portrait" w:w="11906"/>
          <w:pgMar w:bottom="841" w:footer="0" w:gutter="0" w:header="0" w:left="595" w:right="595" w:top="841"/>
          <w:titlePg/>
        </w:sectPr>
      </w:pPr>
    </w:p>
    <w:p w14:paraId="29000000">
      <w:pPr>
        <w:pStyle w:val="Style_2"/>
        <w:widowControl w:val="1"/>
        <w:ind/>
        <w:jc w:val="both"/>
        <w:outlineLvl w:val="0"/>
      </w:pPr>
    </w:p>
    <w:p w14:paraId="2A000000">
      <w:pPr>
        <w:pStyle w:val="Style_3"/>
        <w:widowControl w:val="1"/>
        <w:ind/>
        <w:jc w:val="center"/>
        <w:outlineLvl w:val="0"/>
      </w:pPr>
      <w:r>
        <w:rPr>
          <w:sz w:val="24"/>
        </w:rPr>
        <w:t>ГОСУДАРСТВЕННАЯ КОРПОРАЦИЯ ПО АТОМНОЙ ЭНЕРГИИ "РОСАТОМ"</w:t>
      </w:r>
    </w:p>
    <w:p w14:paraId="2B000000">
      <w:pPr>
        <w:pStyle w:val="Style_3"/>
        <w:widowControl w:val="1"/>
        <w:ind/>
        <w:jc w:val="center"/>
      </w:pPr>
      <w:r>
        <w:rPr>
          <w:sz w:val="24"/>
        </w:rPr>
        <w:t>(Госкорпорация "Росатом")</w:t>
      </w:r>
    </w:p>
    <w:p w14:paraId="2C000000">
      <w:pPr>
        <w:pStyle w:val="Style_3"/>
        <w:widowControl w:val="1"/>
        <w:ind/>
        <w:jc w:val="center"/>
      </w:pPr>
    </w:p>
    <w:p w14:paraId="2D000000">
      <w:pPr>
        <w:pStyle w:val="Style_3"/>
        <w:widowControl w:val="1"/>
        <w:ind/>
        <w:jc w:val="center"/>
      </w:pPr>
      <w:r>
        <w:rPr>
          <w:sz w:val="24"/>
        </w:rPr>
        <w:t>ПРИКАЗ</w:t>
      </w:r>
    </w:p>
    <w:p w14:paraId="2E000000">
      <w:pPr>
        <w:pStyle w:val="Style_3"/>
        <w:widowControl w:val="1"/>
        <w:ind/>
        <w:jc w:val="center"/>
      </w:pPr>
      <w:r>
        <w:rPr>
          <w:sz w:val="24"/>
        </w:rPr>
        <w:t>24 марта 2026 г. N 1/481-П</w:t>
      </w:r>
    </w:p>
    <w:p w14:paraId="2F000000">
      <w:pPr>
        <w:pStyle w:val="Style_3"/>
        <w:widowControl w:val="1"/>
        <w:ind/>
        <w:jc w:val="center"/>
      </w:pPr>
    </w:p>
    <w:p w14:paraId="30000000">
      <w:pPr>
        <w:pStyle w:val="Style_3"/>
        <w:widowControl w:val="1"/>
        <w:ind/>
        <w:jc w:val="center"/>
      </w:pPr>
      <w:r>
        <w:rPr>
          <w:sz w:val="24"/>
        </w:rPr>
        <w:t>ОБ УТВЕРЖДЕНИИ ПЛАНА ПЕРВООЧЕРЕДНЫХ</w:t>
      </w:r>
    </w:p>
    <w:p w14:paraId="31000000">
      <w:pPr>
        <w:pStyle w:val="Style_3"/>
        <w:widowControl w:val="1"/>
        <w:ind/>
        <w:jc w:val="center"/>
      </w:pPr>
      <w:r>
        <w:rPr>
          <w:sz w:val="24"/>
        </w:rPr>
        <w:t>МЕРОПРИЯТИЙ ПО ПРОТИВОДЕЙСТВИЮ КОРРУПЦИИ</w:t>
      </w:r>
    </w:p>
    <w:p w14:paraId="32000000">
      <w:pPr>
        <w:pStyle w:val="Style_3"/>
        <w:widowControl w:val="1"/>
        <w:ind/>
        <w:jc w:val="center"/>
      </w:pPr>
      <w:r>
        <w:rPr>
          <w:sz w:val="24"/>
        </w:rPr>
        <w:t>ГОСУДАРСТВЕННОЙ КОРПОРАЦИИ ПО АТОМНОЙ</w:t>
      </w:r>
    </w:p>
    <w:p w14:paraId="33000000">
      <w:pPr>
        <w:pStyle w:val="Style_3"/>
        <w:widowControl w:val="1"/>
        <w:ind/>
        <w:jc w:val="center"/>
      </w:pPr>
      <w:r>
        <w:rPr>
          <w:sz w:val="24"/>
        </w:rPr>
        <w:t>ЭНЕРГИИ "РОСАТОМ" НА 2026 ГОД</w:t>
      </w:r>
    </w:p>
    <w:p w14:paraId="34000000">
      <w:pPr>
        <w:pStyle w:val="Style_2"/>
        <w:widowControl w:val="1"/>
        <w:ind/>
        <w:jc w:val="both"/>
      </w:pPr>
    </w:p>
    <w:p w14:paraId="35000000">
      <w:pPr>
        <w:pStyle w:val="Style_2"/>
        <w:widowControl w:val="1"/>
        <w:ind/>
        <w:jc w:val="both"/>
      </w:pPr>
    </w:p>
    <w:p w14:paraId="36000000">
      <w:pPr>
        <w:pStyle w:val="Style_2"/>
        <w:widowControl w:val="1"/>
        <w:ind w:firstLine="540"/>
        <w:jc w:val="both"/>
      </w:pPr>
      <w:r>
        <w:rPr>
          <w:sz w:val="24"/>
        </w:rPr>
        <w:t xml:space="preserve">В целях обеспечения исполнения требований Федерального закона от 25.12.2008 </w:t>
      </w:r>
      <w:r>
        <w:rPr>
          <w:sz w:val="24"/>
        </w:rPr>
        <w:fldChar w:fldCharType="begin"/>
      </w:r>
      <w:r>
        <w:rPr>
          <w:sz w:val="24"/>
        </w:rPr>
        <w:instrText>HYPERLINK "consultantplus://offline/ref=DA38C7DC4BFE0B09F3998D485C673EBC5F6E55389FCABE78D8DBB21B96E0415D9C9116733CC86B39565B77A7280E48F9F0E7DAAE6459CDD8W0ACI" \o "Ссылка на КонсультантПлюс"</w:instrText>
      </w:r>
      <w:r>
        <w:rPr>
          <w:sz w:val="24"/>
        </w:rPr>
        <w:fldChar w:fldCharType="separate"/>
      </w:r>
      <w:r>
        <w:rPr>
          <w:sz w:val="24"/>
        </w:rPr>
        <w:t>N 273-ФЗ</w:t>
      </w:r>
      <w:r>
        <w:rPr>
          <w:sz w:val="24"/>
        </w:rPr>
        <w:fldChar w:fldCharType="end"/>
      </w:r>
      <w:r>
        <w:rPr>
          <w:sz w:val="24"/>
        </w:rPr>
        <w:t xml:space="preserve"> "О противодействии коррупции", приказываю:</w:t>
      </w:r>
    </w:p>
    <w:p w14:paraId="37000000">
      <w:pPr>
        <w:pStyle w:val="Style_2"/>
        <w:widowControl w:val="1"/>
        <w:ind/>
        <w:jc w:val="both"/>
      </w:pPr>
    </w:p>
    <w:p w14:paraId="38000000">
      <w:pPr>
        <w:pStyle w:val="Style_2"/>
        <w:widowControl w:val="1"/>
        <w:ind w:firstLine="540"/>
        <w:jc w:val="both"/>
      </w:pPr>
      <w:r>
        <w:rPr>
          <w:sz w:val="24"/>
        </w:rPr>
        <w:t xml:space="preserve">Утвердить План первоочередных мероприятий по противодействию коррупции Государственной корпорации по атомной энергии "Росатом" на 2026 год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"P24" \o "Приложение"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(приложение)</w:t>
      </w:r>
      <w:r>
        <w:rPr>
          <w:color w:val="0000FF"/>
          <w:sz w:val="24"/>
        </w:rPr>
        <w:fldChar w:fldCharType="end"/>
      </w:r>
      <w:r>
        <w:rPr>
          <w:sz w:val="24"/>
        </w:rPr>
        <w:t>.</w:t>
      </w:r>
    </w:p>
    <w:p w14:paraId="39000000">
      <w:pPr>
        <w:pStyle w:val="Style_2"/>
        <w:widowControl w:val="1"/>
        <w:ind/>
        <w:jc w:val="both"/>
      </w:pPr>
    </w:p>
    <w:p w14:paraId="3A000000">
      <w:pPr>
        <w:pStyle w:val="Style_2"/>
        <w:widowControl w:val="1"/>
        <w:ind/>
        <w:jc w:val="both"/>
      </w:pPr>
    </w:p>
    <w:p w14:paraId="3B000000">
      <w:pPr>
        <w:pStyle w:val="Style_2"/>
        <w:widowControl w:val="1"/>
        <w:ind/>
        <w:jc w:val="right"/>
      </w:pPr>
      <w:r>
        <w:rPr>
          <w:sz w:val="24"/>
        </w:rPr>
        <w:t>Заместитель генерального</w:t>
      </w:r>
    </w:p>
    <w:p w14:paraId="3C000000">
      <w:pPr>
        <w:pStyle w:val="Style_2"/>
        <w:widowControl w:val="1"/>
        <w:ind/>
        <w:jc w:val="right"/>
      </w:pPr>
      <w:r>
        <w:rPr>
          <w:sz w:val="24"/>
        </w:rPr>
        <w:t>директора по безопасности</w:t>
      </w:r>
    </w:p>
    <w:p w14:paraId="3D000000">
      <w:pPr>
        <w:pStyle w:val="Style_2"/>
        <w:widowControl w:val="1"/>
        <w:ind/>
        <w:jc w:val="right"/>
      </w:pPr>
      <w:r>
        <w:rPr>
          <w:sz w:val="24"/>
        </w:rPr>
        <w:t>К.И. ДЕНИСОВ</w:t>
      </w:r>
    </w:p>
    <w:p w14:paraId="3E000000">
      <w:pPr>
        <w:pStyle w:val="Style_2"/>
        <w:widowControl w:val="1"/>
        <w:ind/>
        <w:jc w:val="both"/>
      </w:pPr>
    </w:p>
    <w:p w14:paraId="3F000000">
      <w:pPr>
        <w:pStyle w:val="Style_2"/>
        <w:widowControl w:val="1"/>
        <w:ind/>
        <w:jc w:val="both"/>
      </w:pPr>
    </w:p>
    <w:p w14:paraId="40000000">
      <w:pPr>
        <w:pStyle w:val="Style_2"/>
        <w:widowControl w:val="1"/>
        <w:ind/>
        <w:jc w:val="both"/>
      </w:pPr>
    </w:p>
    <w:p w14:paraId="41000000">
      <w:pPr>
        <w:pStyle w:val="Style_2"/>
        <w:widowControl w:val="1"/>
        <w:ind/>
        <w:jc w:val="right"/>
        <w:outlineLvl w:val="1"/>
      </w:pPr>
      <w:bookmarkStart w:id="1" w:name="P24"/>
      <w:bookmarkEnd w:id="1"/>
      <w:r>
        <w:rPr>
          <w:sz w:val="24"/>
        </w:rPr>
        <w:t>Приложение</w:t>
      </w:r>
    </w:p>
    <w:p w14:paraId="42000000">
      <w:pPr>
        <w:pStyle w:val="Style_2"/>
        <w:widowControl w:val="1"/>
        <w:ind/>
        <w:jc w:val="both"/>
      </w:pPr>
    </w:p>
    <w:p w14:paraId="43000000">
      <w:pPr>
        <w:pStyle w:val="Style_2"/>
        <w:widowControl w:val="1"/>
        <w:ind/>
        <w:jc w:val="right"/>
      </w:pPr>
      <w:r>
        <w:rPr>
          <w:sz w:val="24"/>
        </w:rPr>
        <w:t>УТВЕРЖДЕН</w:t>
      </w:r>
    </w:p>
    <w:p w14:paraId="44000000">
      <w:pPr>
        <w:pStyle w:val="Style_2"/>
        <w:widowControl w:val="1"/>
        <w:ind/>
        <w:jc w:val="right"/>
      </w:pPr>
      <w:r>
        <w:rPr>
          <w:sz w:val="24"/>
        </w:rPr>
        <w:t>приказом Госкорпорации "Росатом"</w:t>
      </w:r>
    </w:p>
    <w:p w14:paraId="45000000">
      <w:pPr>
        <w:pStyle w:val="Style_2"/>
        <w:widowControl w:val="1"/>
        <w:ind/>
        <w:jc w:val="right"/>
      </w:pPr>
      <w:r>
        <w:rPr>
          <w:sz w:val="24"/>
        </w:rPr>
        <w:t>от 24.03.2026 N 24.03.2026</w:t>
      </w:r>
    </w:p>
    <w:p w14:paraId="46000000">
      <w:pPr>
        <w:pStyle w:val="Style_2"/>
        <w:widowControl w:val="1"/>
        <w:ind/>
        <w:jc w:val="both"/>
      </w:pPr>
    </w:p>
    <w:p w14:paraId="47000000">
      <w:pPr>
        <w:pStyle w:val="Style_3"/>
        <w:widowControl w:val="1"/>
        <w:ind/>
        <w:jc w:val="center"/>
      </w:pPr>
      <w:r>
        <w:rPr>
          <w:sz w:val="24"/>
        </w:rPr>
        <w:t>ПЛАН</w:t>
      </w:r>
    </w:p>
    <w:p w14:paraId="48000000">
      <w:pPr>
        <w:pStyle w:val="Style_3"/>
        <w:widowControl w:val="1"/>
        <w:ind/>
        <w:jc w:val="center"/>
      </w:pPr>
      <w:r>
        <w:rPr>
          <w:sz w:val="24"/>
        </w:rPr>
        <w:t>первоочередных мероприятий по противодействию</w:t>
      </w:r>
    </w:p>
    <w:p w14:paraId="49000000">
      <w:pPr>
        <w:pStyle w:val="Style_3"/>
        <w:widowControl w:val="1"/>
        <w:ind/>
        <w:jc w:val="center"/>
      </w:pPr>
      <w:r>
        <w:rPr>
          <w:sz w:val="24"/>
        </w:rPr>
        <w:t>коррупции Государственной корпорации по атомной</w:t>
      </w:r>
    </w:p>
    <w:p w14:paraId="4A000000">
      <w:pPr>
        <w:pStyle w:val="Style_3"/>
        <w:widowControl w:val="1"/>
        <w:ind/>
        <w:jc w:val="center"/>
      </w:pPr>
      <w:r>
        <w:rPr>
          <w:sz w:val="24"/>
        </w:rPr>
        <w:t>энергии "Росатом" на 2026 год</w:t>
      </w:r>
    </w:p>
    <w:p w14:paraId="4B000000">
      <w:pPr>
        <w:pStyle w:val="Style_2"/>
        <w:widowControl w:val="1"/>
        <w:ind/>
        <w:jc w:val="both"/>
      </w:pPr>
    </w:p>
    <w:p w14:paraId="4C000000">
      <w:pPr>
        <w:sectPr>
          <w:headerReference r:id="rId5" w:type="default"/>
          <w:headerReference r:id="rId3" w:type="first"/>
          <w:footerReference r:id="rId6" w:type="default"/>
          <w:footerReference r:id="rId4" w:type="first"/>
          <w:pgSz w:h="16838" w:orient="portrait" w:w="11906"/>
          <w:pgMar w:bottom="1440" w:footer="0" w:gutter="0" w:header="0" w:left="1133" w:right="566" w:top="1440"/>
          <w:titlePg/>
        </w:sectPr>
      </w:pPr>
    </w:p>
    <w:tbl>
      <w:tblPr>
        <w:tblW w:type="auto" w:w="0"/>
        <w:tblInd w:type="dxa" w:w="0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1247"/>
        <w:gridCol w:w="6520"/>
        <w:gridCol w:w="1985"/>
        <w:gridCol w:w="1842"/>
        <w:gridCol w:w="3119"/>
      </w:tblGrid>
      <w:tr>
        <w:tc>
          <w:tcPr>
            <w:tcW w:type="dxa" w:w="12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D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N</w:t>
            </w:r>
          </w:p>
          <w:p w14:paraId="4E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п.п.</w:t>
            </w:r>
          </w:p>
        </w:tc>
        <w:tc>
          <w:tcPr>
            <w:tcW w:type="dxa" w:w="6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F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Наименование мероприятия</w:t>
            </w:r>
          </w:p>
        </w:tc>
        <w:tc>
          <w:tcPr>
            <w:tcW w:type="dxa" w:w="1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0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Ответственные исполнители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1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Срок исполнения</w:t>
            </w:r>
          </w:p>
        </w:tc>
        <w:tc>
          <w:tcPr>
            <w:tcW w:type="dxa" w:w="311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2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Ожидаемый результат</w:t>
            </w:r>
          </w:p>
        </w:tc>
      </w:tr>
      <w:tr>
        <w:tc>
          <w:tcPr>
            <w:tcW w:type="dxa" w:w="14713"/>
            <w:gridSpan w:val="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3000000">
            <w:pPr>
              <w:pStyle w:val="Style_2"/>
              <w:widowControl w:val="1"/>
              <w:ind/>
              <w:jc w:val="center"/>
            </w:pPr>
            <w:r>
              <w:rPr>
                <w:b w:val="1"/>
                <w:sz w:val="24"/>
              </w:rPr>
              <w:t>Совершенствование организационных основ антикоррупционной работы и ее эффективности. Антикоррупционное планирование</w:t>
            </w:r>
          </w:p>
        </w:tc>
      </w:tr>
      <w:tr>
        <w:tc>
          <w:tcPr>
            <w:tcW w:type="dxa" w:w="12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4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1.</w:t>
            </w:r>
          </w:p>
        </w:tc>
        <w:tc>
          <w:tcPr>
            <w:tcW w:type="dxa" w:w="6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5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Организовать и обеспечить рассмотрение на служебных совещаниях вопросов противодействия коррупции в Госкорпорации "Росатом" и её организациях, в том числе:</w:t>
            </w:r>
          </w:p>
          <w:p w14:paraId="56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реализации государственной политики в области противодействия коррупции;</w:t>
            </w:r>
          </w:p>
          <w:p w14:paraId="57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применения мер по профилактике коррупционных и иных правонарушений;</w:t>
            </w:r>
          </w:p>
          <w:p w14:paraId="58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совершенствования порядка представления сведений о доходах, расходах, об имуществе и обязательствах имущественного характера в связи с внесением изменений в отдельные законодательные акты Российской Федерации по противодействию коррупции</w:t>
            </w:r>
          </w:p>
        </w:tc>
        <w:tc>
          <w:tcPr>
            <w:tcW w:type="dxa" w:w="1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9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Денисов К.И.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A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По отдельному графику</w:t>
            </w:r>
          </w:p>
        </w:tc>
        <w:tc>
          <w:tcPr>
            <w:tcW w:type="dxa" w:w="311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B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Доведение позиции руководства Госкорпорации "Росатом" руководящему составу Госкорпорации "Росатом" и организаций отрасли о неприемлемости коррупции в деятельности отрасли в целях формирования нетерпимости к коррупционному поведению</w:t>
            </w:r>
          </w:p>
        </w:tc>
      </w:tr>
      <w:tr>
        <w:tc>
          <w:tcPr>
            <w:tcW w:type="dxa" w:w="12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C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2.</w:t>
            </w:r>
          </w:p>
        </w:tc>
        <w:tc>
          <w:tcPr>
            <w:tcW w:type="dxa" w:w="6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D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Обеспечить оказание методической помощи и контроль за планированием и осуществлением деятельности по профилактике коррупционных и иных правонарушений в организациях отрасли.</w:t>
            </w:r>
          </w:p>
          <w:p w14:paraId="5E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Разработать и в установленном порядке направить в организации отрасли рекомендации по вопросам формирования и оценки реализации плана по противодействию коррупции</w:t>
            </w:r>
          </w:p>
        </w:tc>
        <w:tc>
          <w:tcPr>
            <w:tcW w:type="dxa" w:w="1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F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Шаповалова Н.С.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0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до 15.04.2026</w:t>
            </w:r>
          </w:p>
        </w:tc>
        <w:tc>
          <w:tcPr>
            <w:tcW w:type="dxa" w:w="311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1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Прогнозирование антикоррупционной работы организаций, контроль правильности определения приоритетов, сосредоточения ресурсов на основных мероприятиях по противодействию коррупции</w:t>
            </w:r>
          </w:p>
        </w:tc>
      </w:tr>
      <w:tr>
        <w:tc>
          <w:tcPr>
            <w:tcW w:type="dxa" w:w="14713"/>
            <w:gridSpan w:val="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2000000">
            <w:pPr>
              <w:pStyle w:val="Style_2"/>
              <w:widowControl w:val="1"/>
              <w:ind/>
              <w:jc w:val="center"/>
            </w:pPr>
            <w:r>
              <w:rPr>
                <w:b w:val="1"/>
                <w:sz w:val="24"/>
              </w:rPr>
              <w:t>Меры по совершенствованию нормативных правовых актов и локальных нормативных актов в сфере противодействия коррупции</w:t>
            </w:r>
          </w:p>
        </w:tc>
      </w:tr>
      <w:tr>
        <w:tc>
          <w:tcPr>
            <w:tcW w:type="dxa" w:w="12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3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3.</w:t>
            </w:r>
          </w:p>
        </w:tc>
        <w:tc>
          <w:tcPr>
            <w:tcW w:type="dxa" w:w="6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4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Провести мониторинг содержания действующих нормативных правовых актов и локальных нормативных актов Госкорпорации "Росатом", направленных на профилактику коррупционных правонарушений в Госкорпорации "Росатом" и в организациях атомной отрасли, в целях их своевременной актуализации</w:t>
            </w:r>
          </w:p>
        </w:tc>
        <w:tc>
          <w:tcPr>
            <w:tcW w:type="dxa" w:w="1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5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Шаповалова Н.С.</w:t>
            </w:r>
          </w:p>
          <w:p w14:paraId="66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(координация)</w:t>
            </w:r>
          </w:p>
          <w:p w14:paraId="67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Ивлева Н.Г.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8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type="dxa" w:w="311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9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Приведение содержания распорядительных документов Госкорпорации "Росатом" в соответствие с требованиями антикоррупционного законодательства Российской Федерации</w:t>
            </w:r>
          </w:p>
        </w:tc>
      </w:tr>
      <w:tr>
        <w:tc>
          <w:tcPr>
            <w:tcW w:type="dxa" w:w="14713"/>
            <w:gridSpan w:val="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A000000">
            <w:pPr>
              <w:pStyle w:val="Style_2"/>
              <w:widowControl w:val="1"/>
              <w:ind/>
              <w:jc w:val="center"/>
            </w:pPr>
            <w:r>
              <w:rPr>
                <w:b w:val="1"/>
                <w:sz w:val="24"/>
              </w:rPr>
              <w:t>Обеспечение соблюдения работниками Госкорпорации "Росатом" ограничений, запретов и требований к служебному</w:t>
            </w:r>
          </w:p>
          <w:p w14:paraId="6B000000">
            <w:pPr>
              <w:pStyle w:val="Style_2"/>
              <w:widowControl w:val="1"/>
              <w:ind/>
              <w:jc w:val="center"/>
            </w:pPr>
            <w:r>
              <w:rPr>
                <w:b w:val="1"/>
                <w:sz w:val="24"/>
              </w:rPr>
              <w:t>поведению в связи с исполнением ими должностных обязанностей</w:t>
            </w:r>
          </w:p>
        </w:tc>
      </w:tr>
      <w:tr>
        <w:tc>
          <w:tcPr>
            <w:tcW w:type="dxa" w:w="12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C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4.</w:t>
            </w:r>
          </w:p>
        </w:tc>
        <w:tc>
          <w:tcPr>
            <w:tcW w:type="dxa" w:w="6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D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Обеспечение деятельности Комиссии по соблюдению требований к служебному поведению и урегулированию конфликта интересов Госкорпорации "Росатом"</w:t>
            </w:r>
          </w:p>
        </w:tc>
        <w:tc>
          <w:tcPr>
            <w:tcW w:type="dxa" w:w="1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E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Кахерский О.Ю.</w:t>
            </w:r>
          </w:p>
          <w:p w14:paraId="6F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Шаповалова Н.С.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0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type="dxa" w:w="3119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1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Соблюдение работниками Госкорпорации "Росатом"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</w:t>
            </w:r>
          </w:p>
          <w:p w14:paraId="72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"О противодействии коррупции"</w:t>
            </w:r>
          </w:p>
        </w:tc>
      </w:tr>
      <w:tr>
        <w:tc>
          <w:tcPr>
            <w:tcW w:type="dxa" w:w="12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3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5.</w:t>
            </w:r>
          </w:p>
        </w:tc>
        <w:tc>
          <w:tcPr>
            <w:tcW w:type="dxa" w:w="6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4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Осуществление контроля за исполнением работниками Госкорпорации "Росатом" обязанности по уведомлению работодателя обо всех случаях обращения к ним каких-либо лиц в целях склонения их к совершению коррупционных правонарушений</w:t>
            </w:r>
          </w:p>
        </w:tc>
        <w:tc>
          <w:tcPr>
            <w:tcW w:type="dxa" w:w="1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5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Ивлева Н.Г.</w:t>
            </w:r>
          </w:p>
          <w:p w14:paraId="76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Шаповалова Н.С.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7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постоянно,</w:t>
            </w:r>
          </w:p>
          <w:p w14:paraId="78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в течение отчетного периода</w:t>
            </w:r>
          </w:p>
        </w:tc>
        <w:tc>
          <w:tcPr>
            <w:tcW w:type="dxa" w:w="3119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12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9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6.</w:t>
            </w:r>
          </w:p>
        </w:tc>
        <w:tc>
          <w:tcPr>
            <w:tcW w:type="dxa" w:w="6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A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Осуществление контроля за исполнением работниками Госкорпорации "Росатом" обязанности по уведомлению работодателя о возникновении конфликта интересов или о возможности его возникновения</w:t>
            </w:r>
          </w:p>
        </w:tc>
        <w:tc>
          <w:tcPr>
            <w:tcW w:type="dxa" w:w="1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B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Ивлева Н.Г.</w:t>
            </w:r>
          </w:p>
          <w:p w14:paraId="7C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Шаповалова Н.С.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D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постоянно,</w:t>
            </w:r>
          </w:p>
          <w:p w14:paraId="7E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в течение отчетного периода</w:t>
            </w:r>
          </w:p>
        </w:tc>
        <w:tc>
          <w:tcPr>
            <w:tcW w:type="dxa" w:w="3119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12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F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7.</w:t>
            </w:r>
          </w:p>
        </w:tc>
        <w:tc>
          <w:tcPr>
            <w:tcW w:type="dxa" w:w="6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0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 xml:space="preserve">Анализ изменений антикоррупционного законодательства в части отмены обязанности ежегодного представления сведений о доходах, расходах, об имуществе и обязательствах имущественного характера работниками Госкорпорации "Росатом" (Федеральный закон от 28.12.2025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HYPERLINK "consultantplus://offline/ref=DA38C7DC4BFE0B09F3998D485C673EBC5F6E553B9DCEBE78D8DBB21B96E0415D9C9116733CC86B39565B77A7280E48F9F0E7DAAE6459CDD8W0ACI" \o "Ссылка на КонсультантПлюс"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N 505-ФЗ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"О внесении изменений в отдельные законодательные акты Российской Федерации", Указ Президента Российской Федерации от 31.12.2025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HYPERLINK "consultantplus://offline/ref=DA38C7DC4BFE0B09F3998D485C673EBC5F6E553C96CCBE78D8DBB21B96E0415D9C9116733CC86B39515B77A7280E48F9F0E7DAAE6459CDD8W0ACI" \o "Ссылка на КонсультантПлюс"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N 1009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"Об изменении и признании утратившими силу некоторых актов Президента Российской Федерации")</w:t>
            </w:r>
          </w:p>
        </w:tc>
        <w:tc>
          <w:tcPr>
            <w:tcW w:type="dxa" w:w="1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1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Шаповалова Н.С.</w:t>
            </w:r>
          </w:p>
          <w:p w14:paraId="82000000">
            <w:pPr>
              <w:pStyle w:val="Style_2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3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до 01.05.2026</w:t>
            </w:r>
          </w:p>
        </w:tc>
        <w:tc>
          <w:tcPr>
            <w:tcW w:type="dxa" w:w="311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4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Определение базовых параметров антикоррупционного декларирования в Госкорпорации "Росатом"</w:t>
            </w:r>
          </w:p>
          <w:p w14:paraId="85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в 2026 году</w:t>
            </w:r>
          </w:p>
        </w:tc>
      </w:tr>
      <w:tr>
        <w:tc>
          <w:tcPr>
            <w:tcW w:type="dxa" w:w="12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6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8.</w:t>
            </w:r>
          </w:p>
        </w:tc>
        <w:tc>
          <w:tcPr>
            <w:tcW w:type="dxa" w:w="6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7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 xml:space="preserve">Осуществление анализа сведений о доходах, об имуществе и обязательствах имущественного характера, представляемых в соответствии с Федеральным законом от 25.12.2008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HYPERLINK "consultantplus://offline/ref=DA38C7DC4BFE0B09F3998D485C673EBC5F6E55389FCABE78D8DBB21B96E0415D9C9116733CC86B39565B77A7280E48F9F0E7DAAE6459CDD8W0ACI" \o "Ссылка на КонсультантПлюс"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N 273-ФЗ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(в редакции от 28.12.2025) "О противодействии коррупции"</w:t>
            </w:r>
          </w:p>
        </w:tc>
        <w:tc>
          <w:tcPr>
            <w:tcW w:type="dxa" w:w="1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8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Шаповалова Н.С.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9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type="dxa" w:w="311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A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Исполнение требований антикоррупционного законодательства</w:t>
            </w:r>
          </w:p>
        </w:tc>
      </w:tr>
      <w:tr>
        <w:tc>
          <w:tcPr>
            <w:tcW w:type="dxa" w:w="12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B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9.</w:t>
            </w:r>
          </w:p>
        </w:tc>
        <w:tc>
          <w:tcPr>
            <w:tcW w:type="dxa" w:w="6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C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Организация и осуществление консультирования работников Госкорпорации "Росатом" (лично, по телефону, электронной почте) по вопросам, связанным с правоприменением требований антикоррупционного законодательства</w:t>
            </w:r>
          </w:p>
        </w:tc>
        <w:tc>
          <w:tcPr>
            <w:tcW w:type="dxa" w:w="1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D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Шаповалова Н.С.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E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type="dxa" w:w="3119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F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Повышение уровня антикоррупционной грамотности работников Госкорпорации "Росатом"</w:t>
            </w:r>
          </w:p>
        </w:tc>
      </w:tr>
      <w:tr>
        <w:tc>
          <w:tcPr>
            <w:tcW w:type="dxa" w:w="12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0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10.</w:t>
            </w:r>
          </w:p>
        </w:tc>
        <w:tc>
          <w:tcPr>
            <w:tcW w:type="dxa" w:w="6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1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Ознакомление граждан, принимаемых на работу в Госкорпорацию "Росатом", с нормативными документами, регламентирующими вопросы предупреждения и противодействия коррупции в Госкорпорации "Росатом"</w:t>
            </w:r>
          </w:p>
        </w:tc>
        <w:tc>
          <w:tcPr>
            <w:tcW w:type="dxa" w:w="1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2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Ивлева Н.Г.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3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постоянно</w:t>
            </w:r>
          </w:p>
        </w:tc>
        <w:tc>
          <w:tcPr>
            <w:tcW w:type="dxa" w:w="3119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14713"/>
            <w:gridSpan w:val="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4000000">
            <w:pPr>
              <w:pStyle w:val="Style_2"/>
              <w:widowControl w:val="1"/>
              <w:ind/>
              <w:jc w:val="center"/>
            </w:pPr>
            <w:r>
              <w:rPr>
                <w:b w:val="1"/>
                <w:sz w:val="24"/>
              </w:rPr>
              <w:t>Развитие горячей линии Госкорпорации "Росатом" как инструмента противодействия коррупции</w:t>
            </w:r>
          </w:p>
        </w:tc>
      </w:tr>
      <w:tr>
        <w:tc>
          <w:tcPr>
            <w:tcW w:type="dxa" w:w="12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5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11.</w:t>
            </w:r>
          </w:p>
        </w:tc>
        <w:tc>
          <w:tcPr>
            <w:tcW w:type="dxa" w:w="6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6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Подготовить предложения по повышению эффективности работы по рассмотрению сообщений, поступающих по каналам горячей линии.</w:t>
            </w:r>
          </w:p>
          <w:p w14:paraId="97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 xml:space="preserve">По результатам актуализировать Единый отраслевой порядок работы с сообщениями горячей линии, утвержденный приказом Госкорпорации "Росатом" от 20.02.2018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HYPERLINK "consultantplus://offline/ref=DA38C7DC4BFE0B09F3998D485C673EBC5E6E533B98C9BE78D8DBB21B96E0415D9C9116733CC86B3B525B77A7280E48F9F0E7DAAE6459CDD8W0ACI" \o "Ссылка на КонсультантПлюс"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N 1/186-П</w:t>
            </w:r>
            <w:r>
              <w:rPr>
                <w:sz w:val="24"/>
              </w:rPr>
              <w:fldChar w:fldCharType="end"/>
            </w:r>
          </w:p>
        </w:tc>
        <w:tc>
          <w:tcPr>
            <w:tcW w:type="dxa" w:w="1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8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Шаповалова Н.С.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9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до 01.08.2026</w:t>
            </w:r>
          </w:p>
        </w:tc>
        <w:tc>
          <w:tcPr>
            <w:tcW w:type="dxa" w:w="3119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A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Повышение результативности горячей линии в интересах</w:t>
            </w:r>
          </w:p>
          <w:p w14:paraId="9B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формирования у работников Госкорпорации "Росатом" нетерпимости к коррупционному поведению</w:t>
            </w:r>
          </w:p>
        </w:tc>
      </w:tr>
      <w:tr>
        <w:tc>
          <w:tcPr>
            <w:tcW w:type="dxa" w:w="12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C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12.</w:t>
            </w:r>
          </w:p>
        </w:tc>
        <w:tc>
          <w:tcPr>
            <w:tcW w:type="dxa" w:w="6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D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С использованием функционала информационной системы "Горячая линия" обеспечить контроль объективности, всесторонности, своевременности рассмотрения сообщений, поступающих по каналам связи горячей линии</w:t>
            </w:r>
          </w:p>
        </w:tc>
        <w:tc>
          <w:tcPr>
            <w:tcW w:type="dxa" w:w="1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E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Шаповалова Н.С. (координация)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F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01.06.2026</w:t>
            </w:r>
          </w:p>
          <w:p w14:paraId="A0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01.12.2026</w:t>
            </w:r>
          </w:p>
        </w:tc>
        <w:tc>
          <w:tcPr>
            <w:tcW w:type="dxa" w:w="3119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12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1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13.</w:t>
            </w:r>
          </w:p>
        </w:tc>
        <w:tc>
          <w:tcPr>
            <w:tcW w:type="dxa" w:w="6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2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Обеспечить представление руководству Госкорпорации "Росатом" сводного доклада о поступивших сообщениях горячей линии</w:t>
            </w:r>
          </w:p>
        </w:tc>
        <w:tc>
          <w:tcPr>
            <w:tcW w:type="dxa" w:w="1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3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Шаповалова Н.С.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4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еженедельно</w:t>
            </w:r>
          </w:p>
        </w:tc>
        <w:tc>
          <w:tcPr>
            <w:tcW w:type="dxa" w:w="3119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12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5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14.</w:t>
            </w:r>
          </w:p>
        </w:tc>
        <w:tc>
          <w:tcPr>
            <w:tcW w:type="dxa" w:w="6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6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Обеспечить представление руководству Госкорпорации "Росатом" сводного доклада о результатах проверки сообщений горячей линии</w:t>
            </w:r>
          </w:p>
        </w:tc>
        <w:tc>
          <w:tcPr>
            <w:tcW w:type="dxa" w:w="1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7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Шаповалова Н.С.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8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еженедельно</w:t>
            </w:r>
          </w:p>
        </w:tc>
        <w:tc>
          <w:tcPr>
            <w:tcW w:type="dxa" w:w="3119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12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9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15.</w:t>
            </w:r>
          </w:p>
        </w:tc>
        <w:tc>
          <w:tcPr>
            <w:tcW w:type="dxa" w:w="6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A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Провести детальный анализ практики взаимодействия Департамента защиты активов и иных подразделений Госкорпорации "Росатом" при рассмотрении сообщений горячей линии и обращений по вопросам возможных коррупционных проявлений, поступающих на электронный адрес info@rosatom.ru (приказ Госкорпорации "Росатом"</w:t>
            </w:r>
          </w:p>
          <w:p w14:paraId="AB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 xml:space="preserve">от 17.11.2017 </w:t>
            </w:r>
            <w:r>
              <w:rPr>
                <w:sz w:val="24"/>
              </w:rPr>
              <w:t>N 1/1144-П</w:t>
            </w:r>
            <w:r>
              <w:rPr>
                <w:sz w:val="24"/>
              </w:rPr>
              <w:t xml:space="preserve"> "Об утверждении Единых отраслевых методических указаний по работе с обращениями граждан в Госкорпорации "Росатом" и ее организациях")</w:t>
            </w:r>
          </w:p>
        </w:tc>
        <w:tc>
          <w:tcPr>
            <w:tcW w:type="dxa" w:w="1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C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Шаповалова Н.С.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D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до 01.06.2025</w:t>
            </w:r>
          </w:p>
        </w:tc>
        <w:tc>
          <w:tcPr>
            <w:tcW w:type="dxa" w:w="3119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14713"/>
            <w:gridSpan w:val="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E000000">
            <w:pPr>
              <w:pStyle w:val="Style_2"/>
              <w:widowControl w:val="1"/>
              <w:ind/>
              <w:jc w:val="center"/>
            </w:pPr>
            <w:r>
              <w:rPr>
                <w:b w:val="1"/>
                <w:sz w:val="24"/>
              </w:rPr>
              <w:t>Обеспечение организационных основ взаимодействия Госкорпорации "Росатом" с организациями отрасли</w:t>
            </w:r>
          </w:p>
          <w:p w14:paraId="AF000000">
            <w:pPr>
              <w:pStyle w:val="Style_2"/>
              <w:widowControl w:val="1"/>
              <w:ind/>
              <w:jc w:val="center"/>
            </w:pPr>
            <w:r>
              <w:rPr>
                <w:b w:val="1"/>
                <w:sz w:val="24"/>
              </w:rPr>
              <w:t>по вопросам противодействия коррупции</w:t>
            </w:r>
          </w:p>
        </w:tc>
      </w:tr>
      <w:tr>
        <w:tc>
          <w:tcPr>
            <w:tcW w:type="dxa" w:w="12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0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16.</w:t>
            </w:r>
          </w:p>
        </w:tc>
        <w:tc>
          <w:tcPr>
            <w:tcW w:type="dxa" w:w="6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1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Провести анализ эффективности и достаточности мер, предусмотренных для распространения на отраслевые организации действия отраслевых и иных документов, регулирующих вопросы защиты активов и противодействия коррупции.</w:t>
            </w:r>
          </w:p>
          <w:p w14:paraId="B2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По результатам при необходимости подготовить предложения о внесении изменений в отраслевые и локальные нормативные акты</w:t>
            </w:r>
          </w:p>
        </w:tc>
        <w:tc>
          <w:tcPr>
            <w:tcW w:type="dxa" w:w="1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3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Шаповалова Н.С.</w:t>
            </w:r>
          </w:p>
          <w:p w14:paraId="B4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(координация)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5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до 01.09.2026</w:t>
            </w:r>
          </w:p>
        </w:tc>
        <w:tc>
          <w:tcPr>
            <w:tcW w:type="dxa" w:w="3119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6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Обеспечение единого подхода к вопросам антикоррупционного регулирования Госкорпорации "Росатом" и организаций отрасли</w:t>
            </w:r>
          </w:p>
        </w:tc>
      </w:tr>
      <w:tr>
        <w:tc>
          <w:tcPr>
            <w:tcW w:type="dxa" w:w="12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7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17.</w:t>
            </w:r>
          </w:p>
        </w:tc>
        <w:tc>
          <w:tcPr>
            <w:tcW w:type="dxa" w:w="6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8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Обеспечить оценку интегрируемых в Госкорпорацию "Росатом" организаций на предмет зрелости процесса "Защита активов" и выполнения требований по противодействию коррупции.</w:t>
            </w:r>
          </w:p>
          <w:p w14:paraId="B9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 xml:space="preserve">По результатам инициировать внесение изменений в Единые отраслевые методические указания по интеграции активов Госкорпорации "Росатом" и ее организаций (приказ Госкорпорации "Росатом" от 29.12.2023 </w:t>
            </w:r>
            <w:r>
              <w:rPr>
                <w:sz w:val="24"/>
              </w:rPr>
              <w:t>N 1/2566-П</w:t>
            </w:r>
            <w:r>
              <w:rPr>
                <w:sz w:val="24"/>
              </w:rPr>
              <w:t>)</w:t>
            </w:r>
          </w:p>
        </w:tc>
        <w:tc>
          <w:tcPr>
            <w:tcW w:type="dxa" w:w="1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A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Шаповалова Н.С.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B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до 01.06.2026</w:t>
            </w:r>
          </w:p>
        </w:tc>
        <w:tc>
          <w:tcPr>
            <w:tcW w:type="dxa" w:w="3119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14713"/>
            <w:gridSpan w:val="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C000000">
            <w:pPr>
              <w:pStyle w:val="Style_2"/>
              <w:widowControl w:val="1"/>
              <w:ind/>
              <w:jc w:val="center"/>
            </w:pPr>
            <w:r>
              <w:rPr>
                <w:b w:val="1"/>
                <w:sz w:val="24"/>
              </w:rPr>
              <w:t>Вопросы взаимодействия с правоохранительными органами при осуществлении противодействия коррупционным</w:t>
            </w:r>
          </w:p>
          <w:p w14:paraId="BD000000">
            <w:pPr>
              <w:pStyle w:val="Style_2"/>
              <w:widowControl w:val="1"/>
              <w:ind/>
              <w:jc w:val="center"/>
            </w:pPr>
            <w:r>
              <w:rPr>
                <w:b w:val="1"/>
                <w:sz w:val="24"/>
              </w:rPr>
              <w:t>и иным правонарушениям в Госкорпорации "Росатом" и ее организациях</w:t>
            </w:r>
          </w:p>
        </w:tc>
      </w:tr>
      <w:tr>
        <w:tc>
          <w:tcPr>
            <w:tcW w:type="dxa" w:w="12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E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18.</w:t>
            </w:r>
          </w:p>
        </w:tc>
        <w:tc>
          <w:tcPr>
            <w:tcW w:type="dxa" w:w="6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F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 xml:space="preserve">Организовать сбор и обобщение детальных сведений о работе организаций Госкорпорации "Росатом" по взаимодействию с правоохранительными органами в 2026 году на основании отчетов, представленных во исполнение приказа Госкорпорации "Росатом" от 30.09.2016 </w:t>
            </w:r>
            <w:r>
              <w:rPr>
                <w:sz w:val="24"/>
              </w:rPr>
              <w:t>N 1/917-П</w:t>
            </w:r>
            <w:r>
              <w:rPr>
                <w:sz w:val="24"/>
              </w:rPr>
              <w:t>, и сообщений о существенных событиях:</w:t>
            </w:r>
          </w:p>
          <w:p w14:paraId="C0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а) о направленных материалах;</w:t>
            </w:r>
          </w:p>
          <w:p w14:paraId="C1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б) о возбужденных уголовных делах</w:t>
            </w:r>
          </w:p>
        </w:tc>
        <w:tc>
          <w:tcPr>
            <w:tcW w:type="dxa" w:w="1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2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Шаповалова Н.С. (координация)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3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30.04.2026, 30.07.2026, 30.10.2026,</w:t>
            </w:r>
          </w:p>
          <w:p w14:paraId="C4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30.12.2026</w:t>
            </w:r>
          </w:p>
        </w:tc>
        <w:tc>
          <w:tcPr>
            <w:tcW w:type="dxa" w:w="311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5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 xml:space="preserve">Повышение эффективности контроля за выполнением организациями отрасли требования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HYPERLINK "consultantplus://offline/ref=DA38C7DC4BFE0B09F3998D485C673EBC5F6E55389FCABE78D8DBB21B96E0415D9C91167B3CC33F6816052EF46D4545F3EFFBDAA4W7ACI" \o "Ссылка на КонсультантПлюс"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ст. 13.3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Федерального закона от 25.12.2008 N 273-ФЗ</w:t>
            </w:r>
          </w:p>
          <w:p w14:paraId="C6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"О противодействии коррупции"</w:t>
            </w:r>
          </w:p>
        </w:tc>
      </w:tr>
      <w:tr>
        <w:tc>
          <w:tcPr>
            <w:tcW w:type="dxa" w:w="14713"/>
            <w:gridSpan w:val="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7000000">
            <w:pPr>
              <w:pStyle w:val="Style_2"/>
              <w:widowControl w:val="1"/>
              <w:ind/>
              <w:jc w:val="center"/>
            </w:pPr>
            <w:r>
              <w:rPr>
                <w:b w:val="1"/>
                <w:sz w:val="24"/>
              </w:rPr>
              <w:t>Повышение результативности сбора сведений о результатах работы организаций Госкорпорации "Росатом" по противодействию коррупционным и иным правонарушениям</w:t>
            </w:r>
          </w:p>
        </w:tc>
      </w:tr>
      <w:tr>
        <w:tc>
          <w:tcPr>
            <w:tcW w:type="dxa" w:w="12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8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19.</w:t>
            </w:r>
          </w:p>
        </w:tc>
        <w:tc>
          <w:tcPr>
            <w:tcW w:type="dxa" w:w="6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9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В целях повышения эффективности антикоррупционной работы организаций отрасли на наиболее приоритетных в современных условиях направлениях (в том числе при исполнении ГОЗ, в бюджетной сфере и др.) провести анализ выполнения требований к форме, содержанию, срокам (периодичности) представления сведений о выявляемых в организациях коррупционных и иных правонарушениях, проводимой антикоррупционной работе, в том числе по выявлению и урегулированию конфликта интересов.</w:t>
            </w:r>
          </w:p>
          <w:p w14:paraId="CA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 xml:space="preserve">По результатам внести изменения в Единые отраслевые методические указания о представлении организациями Госкорпорации "Росатом" сведений о выявляемых в них коррупционных и иных правонарушениях, проводимой антикоррупционной работе, в том числе по выявлению и урегулированию конфликта интересов, утвержденные приказом Госкорпорации "Росатом" от 30.09.2016 </w:t>
            </w:r>
            <w:r>
              <w:rPr>
                <w:sz w:val="24"/>
              </w:rPr>
              <w:t>N 1/917-П</w:t>
            </w:r>
            <w:r>
              <w:rPr>
                <w:sz w:val="24"/>
              </w:rPr>
              <w:t>)</w:t>
            </w:r>
          </w:p>
        </w:tc>
        <w:tc>
          <w:tcPr>
            <w:tcW w:type="dxa" w:w="1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B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Шаповалова Н.С.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C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до 15.04.2026</w:t>
            </w:r>
          </w:p>
        </w:tc>
        <w:tc>
          <w:tcPr>
            <w:tcW w:type="dxa" w:w="311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D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Повышение результативности информирования Госкорпорации "Росатом" со стороны организаций отрасли о проводимой антикоррупционной работе</w:t>
            </w:r>
          </w:p>
        </w:tc>
      </w:tr>
      <w:tr>
        <w:tc>
          <w:tcPr>
            <w:tcW w:type="dxa" w:w="14713"/>
            <w:gridSpan w:val="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E000000">
            <w:pPr>
              <w:pStyle w:val="Style_2"/>
              <w:widowControl w:val="1"/>
              <w:ind/>
              <w:jc w:val="center"/>
            </w:pPr>
            <w:r>
              <w:rPr>
                <w:b w:val="1"/>
                <w:sz w:val="24"/>
              </w:rPr>
              <w:t>Профилактика коррупции (минимизация коррупционных рисков) при осуществлении расходов за счет собственных (заемных) средств, планируемых к возмещению за счет субсидий из федерального бюджета</w:t>
            </w:r>
          </w:p>
        </w:tc>
      </w:tr>
      <w:tr>
        <w:tc>
          <w:tcPr>
            <w:tcW w:type="dxa" w:w="12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F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20.</w:t>
            </w:r>
          </w:p>
        </w:tc>
        <w:tc>
          <w:tcPr>
            <w:tcW w:type="dxa" w:w="6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0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Провести анализ (на примере организации Госкорпорации "Росатом") эффективности и достаточности мер, предусмотренных отраслевыми и локальными актами Госкорпорации "Росатом", иными распорядительными документами (в том числе организаций) по минимизации коррупционных рисков при осуществлении расходов за счет собственных (заемных) средств, планируемых к возмещению за счет субсидий из федерального бюджета</w:t>
            </w:r>
          </w:p>
        </w:tc>
        <w:tc>
          <w:tcPr>
            <w:tcW w:type="dxa" w:w="1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1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Шаповалова Н.С. (координация)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2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01.09.2026</w:t>
            </w:r>
          </w:p>
        </w:tc>
        <w:tc>
          <w:tcPr>
            <w:tcW w:type="dxa" w:w="311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3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Минимизация коррупционных рисков в ходе расходования средств субсидий из федерального бюджета</w:t>
            </w:r>
          </w:p>
        </w:tc>
      </w:tr>
      <w:tr>
        <w:tc>
          <w:tcPr>
            <w:tcW w:type="dxa" w:w="14713"/>
            <w:gridSpan w:val="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4000000">
            <w:pPr>
              <w:pStyle w:val="Style_2"/>
              <w:widowControl w:val="1"/>
              <w:ind/>
              <w:jc w:val="center"/>
            </w:pPr>
            <w:r>
              <w:rPr>
                <w:b w:val="1"/>
                <w:sz w:val="24"/>
              </w:rPr>
              <w:t>Профилактика коррупции при осуществлении закупок товаров, работ, услуг, иных конкурентных процедур</w:t>
            </w:r>
          </w:p>
        </w:tc>
      </w:tr>
      <w:tr>
        <w:tc>
          <w:tcPr>
            <w:tcW w:type="dxa" w:w="12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5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21.</w:t>
            </w:r>
          </w:p>
        </w:tc>
        <w:tc>
          <w:tcPr>
            <w:tcW w:type="dxa" w:w="6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6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Обеспечить (в части полномочий Госкорпорации "Росатом") в установленном порядке разработку электронного курса "Противодействие коррупционным и иным правонарушениям при осуществлении закупочной деятельности"</w:t>
            </w:r>
          </w:p>
        </w:tc>
        <w:tc>
          <w:tcPr>
            <w:tcW w:type="dxa" w:w="1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7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Шаповалова Н.С. (координация)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8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до 01.10.2026</w:t>
            </w:r>
          </w:p>
        </w:tc>
        <w:tc>
          <w:tcPr>
            <w:tcW w:type="dxa" w:w="3119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9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Повышение эффективности обеспечения соблюдения работниками закупочных подразделений запретов, ограничений, обязательств и правил служебного поведения, формирование у них нетерпимости к коррупционному поведению.</w:t>
            </w:r>
          </w:p>
        </w:tc>
      </w:tr>
      <w:tr>
        <w:tc>
          <w:tcPr>
            <w:tcW w:type="dxa" w:w="12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A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22.</w:t>
            </w:r>
          </w:p>
        </w:tc>
        <w:tc>
          <w:tcPr>
            <w:tcW w:type="dxa" w:w="6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B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Обеспечить (в части полномочий Госкорпорации "Росатом") проведение мероприятий по профессиональному развитию в области противодействия коррупции работников организаций Госкорпорации "Росатом", в должностные обязанности которых входит участие в проведении закупок товаров, работ, услуг</w:t>
            </w:r>
          </w:p>
        </w:tc>
        <w:tc>
          <w:tcPr>
            <w:tcW w:type="dxa" w:w="1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C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Шаповалова Н.С.</w:t>
            </w:r>
          </w:p>
          <w:p w14:paraId="DD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Ивлева Н.Г.</w:t>
            </w:r>
          </w:p>
          <w:p w14:paraId="DE000000">
            <w:pPr>
              <w:pStyle w:val="Style_2"/>
            </w:pPr>
          </w:p>
          <w:p w14:paraId="DF000000">
            <w:pPr>
              <w:pStyle w:val="Style_2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0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по отдельному плану</w:t>
            </w:r>
          </w:p>
        </w:tc>
        <w:tc>
          <w:tcPr>
            <w:tcW w:type="dxa" w:w="3119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12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1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23.</w:t>
            </w:r>
          </w:p>
        </w:tc>
        <w:tc>
          <w:tcPr>
            <w:tcW w:type="dxa" w:w="6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2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Обеспечить организацию проведения мероприятий по профессиональному развитию в области противодействия коррупции для работников АО "Атомкомплект" с учетом специфики деятельности организации как уполномоченного органа по закупочной деятельности Госкорпорации "Росатом", а также иных уполномоченных органов по закупочной деятельности</w:t>
            </w:r>
          </w:p>
        </w:tc>
        <w:tc>
          <w:tcPr>
            <w:tcW w:type="dxa" w:w="1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3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Шаповалова Н.С.</w:t>
            </w:r>
          </w:p>
          <w:p w14:paraId="E4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Мельченко И.А.</w:t>
            </w:r>
          </w:p>
          <w:p w14:paraId="E5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Стенина А.И.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6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по отдельному плану</w:t>
            </w:r>
          </w:p>
        </w:tc>
        <w:tc>
          <w:tcPr>
            <w:tcW w:type="dxa" w:w="3119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12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7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24.</w:t>
            </w:r>
          </w:p>
        </w:tc>
        <w:tc>
          <w:tcPr>
            <w:tcW w:type="dxa" w:w="6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8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Провести анализ эффективности взаимодействия подразделений безопасности (на примере АО АСЭ и</w:t>
            </w:r>
          </w:p>
          <w:p w14:paraId="E9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АО "Концерн Росэнергоатом") при выполнении задач защиты активов и противодействия коррупции в ходе подготовки закупочных процедур на выполнение работ по сооружению АЭС. По результатам организовать и провести обучающие мероприятия (инструкторско-методические занятия)</w:t>
            </w:r>
          </w:p>
        </w:tc>
        <w:tc>
          <w:tcPr>
            <w:tcW w:type="dxa" w:w="1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A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Шаповалова Н.С. (координация)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B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до 01.06.2026</w:t>
            </w:r>
          </w:p>
        </w:tc>
        <w:tc>
          <w:tcPr>
            <w:tcW w:type="dxa" w:w="311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C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Реализация эффективного взаимодействия организаций отрасли в ходе подготовки закупочных процедур в интересах противодействия коррупционным и иным правонарушениям</w:t>
            </w:r>
          </w:p>
        </w:tc>
      </w:tr>
      <w:tr>
        <w:tc>
          <w:tcPr>
            <w:tcW w:type="dxa" w:w="14713"/>
            <w:gridSpan w:val="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D000000">
            <w:pPr>
              <w:pStyle w:val="Style_2"/>
              <w:widowControl w:val="1"/>
              <w:ind/>
              <w:jc w:val="center"/>
            </w:pPr>
            <w:r>
              <w:rPr>
                <w:b w:val="1"/>
                <w:sz w:val="24"/>
              </w:rPr>
              <w:t>Профессиональное развитие в сфере противодействия коррупции и популяризация антикоррупционных стандартов</w:t>
            </w:r>
          </w:p>
        </w:tc>
      </w:tr>
      <w:tr>
        <w:tc>
          <w:tcPr>
            <w:tcW w:type="dxa" w:w="12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E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25.</w:t>
            </w:r>
          </w:p>
        </w:tc>
        <w:tc>
          <w:tcPr>
            <w:tcW w:type="dxa" w:w="6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F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Организовать проведение анализа (с привлечением при необходимости участников разработки) соответствия используемых антикоррупционных учебных (в т.ч. дистанционных) курсов, образовательных программ, дидактических материалов, учебных пособий, средств тестирования и т.п. актуальным нормам законодательства о противодействии коррупции, требованиям отраслевой специфики, современным методам обеспечения профессионального развития работников</w:t>
            </w:r>
          </w:p>
        </w:tc>
        <w:tc>
          <w:tcPr>
            <w:tcW w:type="dxa" w:w="1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0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Шаповалова Н.С. (координация)</w:t>
            </w:r>
          </w:p>
          <w:p w14:paraId="F1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Кармишина О.Н.</w:t>
            </w:r>
          </w:p>
          <w:p w14:paraId="F2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Ивлева Н.Г.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3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01.06.2026</w:t>
            </w:r>
          </w:p>
        </w:tc>
        <w:tc>
          <w:tcPr>
            <w:tcW w:type="dxa" w:w="3119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4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Распространение знаний в области противодействия коррупции, в том числе о формах коррупционных правонарушений, их социальной опасности, способах противодействия коррупции и принципах антикоррупционного поведения, а также разъяснение положений нормативных правовых актов Российской Федерации в области противодействия коррупции.</w:t>
            </w:r>
          </w:p>
        </w:tc>
      </w:tr>
      <w:tr>
        <w:tc>
          <w:tcPr>
            <w:tcW w:type="dxa" w:w="12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5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26.</w:t>
            </w:r>
          </w:p>
        </w:tc>
        <w:tc>
          <w:tcPr>
            <w:tcW w:type="dxa" w:w="6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6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Организовать на системной основе получение сведений о потребности в повышении квалификации работников Госкорпорации "Росатом" и организаций в антикоррупционной сфере</w:t>
            </w:r>
          </w:p>
        </w:tc>
        <w:tc>
          <w:tcPr>
            <w:tcW w:type="dxa" w:w="1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7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Шаповалова Н.С. (координация)</w:t>
            </w:r>
          </w:p>
          <w:p w14:paraId="F8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Кармишина О.Н.</w:t>
            </w:r>
          </w:p>
          <w:p w14:paraId="F9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Ивлева Н.Г.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A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01.06.2026</w:t>
            </w:r>
          </w:p>
        </w:tc>
        <w:tc>
          <w:tcPr>
            <w:tcW w:type="dxa" w:w="3119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12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B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27.</w:t>
            </w:r>
          </w:p>
        </w:tc>
        <w:tc>
          <w:tcPr>
            <w:tcW w:type="dxa" w:w="6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C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Обобщить результаты мониторинга потребностей в повышении квалификации работников Госкорпорации "Росатом" и ее организаций, в должностные обязанности которых входит участие в противодействии коррупции.</w:t>
            </w:r>
          </w:p>
          <w:p w14:paraId="FD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По результатам проинформировать образовательные организации отрасли</w:t>
            </w:r>
          </w:p>
        </w:tc>
        <w:tc>
          <w:tcPr>
            <w:tcW w:type="dxa" w:w="1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E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Шаповалова Н.С.</w:t>
            </w:r>
          </w:p>
          <w:p w14:paraId="FF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(координация)</w:t>
            </w:r>
          </w:p>
          <w:p w14:paraId="0001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Кармишина О.Н.</w:t>
            </w:r>
          </w:p>
          <w:p w14:paraId="0101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Ивлева Н.Г.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201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01.06.2026</w:t>
            </w:r>
          </w:p>
        </w:tc>
        <w:tc>
          <w:tcPr>
            <w:tcW w:type="dxa" w:w="3119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12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301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28.</w:t>
            </w:r>
          </w:p>
        </w:tc>
        <w:tc>
          <w:tcPr>
            <w:tcW w:type="dxa" w:w="6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401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Обеспечить в установленном порядке проведение мероприятий по профессиональному развитию в области противодействия коррупции работников организаций Госкорпорации "Росатом", в должностные обязанности которых входит участие в противодействии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type="dxa" w:w="1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501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Шаповалова Н.С. (координация)</w:t>
            </w:r>
          </w:p>
          <w:p w14:paraId="0601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Кармишина О.Н.</w:t>
            </w:r>
          </w:p>
          <w:p w14:paraId="07010000">
            <w:pPr>
              <w:pStyle w:val="Style_2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801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по отдельному плану</w:t>
            </w:r>
          </w:p>
        </w:tc>
        <w:tc>
          <w:tcPr>
            <w:tcW w:type="dxa" w:w="3119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12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901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29.</w:t>
            </w:r>
          </w:p>
        </w:tc>
        <w:tc>
          <w:tcPr>
            <w:tcW w:type="dxa" w:w="6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A01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Обеспечить в установленном порядке проведение мероприятий по профессиональному развитию в области противодействия коррупции лиц, впервые поступивших на работу в Госкорпорации "Росатом" или ее организацию на должности, связанные с соблюдением антикоррупционных стандартов. Обеспечить прохождение электронного курса в качестве обязательного в период адаптации</w:t>
            </w:r>
          </w:p>
        </w:tc>
        <w:tc>
          <w:tcPr>
            <w:tcW w:type="dxa" w:w="1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B01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Ивлева Н.Г.</w:t>
            </w:r>
          </w:p>
          <w:p w14:paraId="0C01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Шаповалова Н.С. (координация)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D01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по отдельному плану</w:t>
            </w:r>
          </w:p>
        </w:tc>
        <w:tc>
          <w:tcPr>
            <w:tcW w:type="dxa" w:w="311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E010000">
            <w:pPr>
              <w:pStyle w:val="Style_2"/>
            </w:pPr>
          </w:p>
        </w:tc>
      </w:tr>
      <w:tr>
        <w:tc>
          <w:tcPr>
            <w:tcW w:type="dxa" w:w="12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F01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30.</w:t>
            </w:r>
          </w:p>
        </w:tc>
        <w:tc>
          <w:tcPr>
            <w:tcW w:type="dxa" w:w="6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001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Организовать подготовку информационных материалов по тематике противодействия коррупционным и иным правонарушениям в странах Глобального Юга (Африка, Юго-Восточная Азия, Латинская Америка), на территориях которых реализуются зарубежные проекты Госкорпорации "Росатом" в целях учебно-методического обеспечения профессионального развития в области противодействия коррупции работников отрасли</w:t>
            </w:r>
          </w:p>
        </w:tc>
        <w:tc>
          <w:tcPr>
            <w:tcW w:type="dxa" w:w="1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101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Шаповалова Н.С.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201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до 01.07 2026</w:t>
            </w:r>
          </w:p>
        </w:tc>
        <w:tc>
          <w:tcPr>
            <w:tcW w:type="dxa" w:w="311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301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Учет особенностей государств присутствия Госкорпорации "Росатом" при организации работы по профилактике коррупционных и иных правонарушений</w:t>
            </w:r>
          </w:p>
        </w:tc>
      </w:tr>
    </w:tbl>
    <w:p w14:paraId="14010000">
      <w:pPr>
        <w:pStyle w:val="Style_2"/>
        <w:widowControl w:val="1"/>
        <w:ind/>
        <w:jc w:val="both"/>
      </w:pPr>
    </w:p>
    <w:p w14:paraId="15010000">
      <w:pPr>
        <w:pStyle w:val="Style_2"/>
        <w:widowControl w:val="1"/>
        <w:ind/>
        <w:jc w:val="both"/>
      </w:pPr>
    </w:p>
    <w:p w14:paraId="16010000">
      <w:pPr>
        <w:pStyle w:val="Style_2"/>
        <w:widowControl w:val="1"/>
        <w:pBdr>
          <w:bottom w:color="000000" w:space="0" w:sz="6" w:val="single"/>
        </w:pBdr>
        <w:spacing w:after="100" w:before="100"/>
        <w:ind/>
        <w:jc w:val="both"/>
        <w:rPr>
          <w:sz w:val="2"/>
        </w:rPr>
      </w:pPr>
    </w:p>
    <w:sectPr>
      <w:headerReference r:id="rId1" w:type="default"/>
      <w:headerReference r:id="rId7" w:type="first"/>
      <w:footerReference r:id="rId2" w:type="default"/>
      <w:footerReference r:id="rId8" w:type="first"/>
      <w:pgSz w:h="11906" w:orient="landscape" w:w="16838"/>
      <w:pgMar w:bottom="566" w:footer="0" w:gutter="0" w:header="0" w:left="397" w:right="397" w:top="1133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widowControl w:val="1"/>
      <w:pBdr>
        <w:bottom w:color="000000" w:space="0" w:sz="12" w:val="single"/>
      </w:pBdr>
      <w:ind/>
      <w:rPr>
        <w:sz w:val="2"/>
      </w:rPr>
    </w:pPr>
  </w:p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3368"/>
      <w:gridCol w:w="3470"/>
      <w:gridCol w:w="3368"/>
    </w:tblGrid>
    <w:tr>
      <w:trPr>
        <w:trHeight w:hRule="exact" w:val="1170"/>
      </w:trPr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06000000">
          <w:r>
            <w:rPr>
              <w:rFonts w:ascii="Tahoma" w:hAnsi="Tahoma"/>
              <w:b w:val="1"/>
              <w:color w:val="F58220"/>
              <w:sz w:val="28"/>
            </w:rPr>
            <w:t>КонсультантПлюс</w:t>
          </w:r>
          <w:r>
            <w:rPr>
              <w:rFonts w:ascii="Tahoma" w:hAnsi="Tahoma"/>
              <w:b w:val="1"/>
              <w:sz w:val="16"/>
            </w:rPr>
            <w:br/>
          </w:r>
          <w:r>
            <w:rPr>
              <w:rFonts w:ascii="Tahoma" w:hAnsi="Tahoma"/>
              <w:b w:val="1"/>
              <w:sz w:val="16"/>
            </w:rPr>
            <w:t>надежная правовая поддержка</w:t>
          </w:r>
        </w:p>
      </w:tc>
      <w:tc>
        <w:tcPr>
          <w:tcW w:type="dxa" w:w="3470"/>
          <w:tcMar>
            <w:left w:type="dxa" w:w="40"/>
            <w:right w:type="dxa" w:w="40"/>
          </w:tcMar>
          <w:vAlign w:val="center"/>
        </w:tcPr>
        <w:p w14:paraId="07000000">
          <w:pPr>
            <w:widowControl w:val="1"/>
            <w:ind/>
            <w:jc w:val="center"/>
          </w:pPr>
          <w:r>
            <w:rPr>
              <w:rFonts w:ascii="Tahoma" w:hAnsi="Tahoma"/>
              <w:b w:val="1"/>
              <w:color w:val="0000FF"/>
            </w:rPr>
            <w:fldChar w:fldCharType="begin"/>
          </w:r>
          <w:r>
            <w:rPr>
              <w:rFonts w:ascii="Tahoma" w:hAnsi="Tahoma"/>
              <w:b w:val="1"/>
              <w:color w:val="0000FF"/>
            </w:rPr>
            <w:instrText>HYPERLINK "https://www.consultant.ru"</w:instrText>
          </w:r>
          <w:r>
            <w:rPr>
              <w:rFonts w:ascii="Tahoma" w:hAnsi="Tahoma"/>
              <w:b w:val="1"/>
              <w:color w:val="0000FF"/>
            </w:rPr>
            <w:fldChar w:fldCharType="separate"/>
          </w:r>
          <w:r>
            <w:rPr>
              <w:rFonts w:ascii="Tahoma" w:hAnsi="Tahoma"/>
              <w:b w:val="1"/>
              <w:color w:val="0000FF"/>
            </w:rPr>
            <w:t>www.consultant.ru</w:t>
          </w:r>
          <w:r>
            <w:rPr>
              <w:rFonts w:ascii="Tahoma" w:hAnsi="Tahoma"/>
              <w:b w:val="1"/>
              <w:color w:val="0000FF"/>
            </w:rPr>
            <w:fldChar w:fldCharType="end"/>
          </w:r>
        </w:p>
      </w:tc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08000000">
          <w:r>
            <w:rPr>
              <w:rFonts w:ascii="Tahoma" w:hAnsi="Tahoma"/>
            </w:rPr>
            <w:t xml:space="preserve">Страница </w:t>
          </w:r>
          <w:r>
            <w:fldChar w:fldCharType="begin"/>
          </w:r>
          <w:r>
            <w:instrText xml:space="preserve">PAGE </w:instrText>
          </w:r>
          <w:r>
            <w:fldChar w:fldCharType="separate"/>
          </w:r>
          <w:r>
            <w:t xml:space="preserve"> </w:t>
          </w:r>
          <w:r>
            <w:fldChar w:fldCharType="end"/>
          </w:r>
          <w:r>
            <w:rPr>
              <w:rFonts w:ascii="Tahoma" w:hAnsi="Tahoma"/>
            </w:rPr>
            <w:t xml:space="preserve"> из </w:t>
          </w:r>
          <w:r>
            <w:fldChar w:fldCharType="begin"/>
          </w:r>
          <w:r>
            <w:instrText xml:space="preserve">NUMPAGES </w:instrText>
          </w:r>
          <w:r>
            <w:fldChar w:fldCharType="separate"/>
          </w:r>
          <w:r>
            <w:t>10</w:t>
          </w:r>
          <w:r>
            <w:fldChar w:fldCharType="end"/>
          </w:r>
        </w:p>
      </w:tc>
    </w:tr>
  </w:tbl>
  <w:p w14:paraId="09000000">
    <w:r>
      <w:rPr>
        <w:sz w:val="2"/>
      </w:rPr>
      <w:t>1</w: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>
    <w:pPr>
      <w:widowControl w:val="1"/>
      <w:pBdr>
        <w:bottom w:color="000000" w:space="0" w:sz="12" w:val="single"/>
      </w:pBdr>
      <w:ind/>
      <w:rPr>
        <w:sz w:val="2"/>
      </w:rPr>
    </w:pPr>
  </w:p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3368"/>
      <w:gridCol w:w="3470"/>
      <w:gridCol w:w="3368"/>
    </w:tblGrid>
    <w:tr>
      <w:trPr>
        <w:trHeight w:hRule="exact" w:val="1663"/>
      </w:trPr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0F000000">
          <w:r>
            <w:rPr>
              <w:rFonts w:ascii="Tahoma" w:hAnsi="Tahoma"/>
              <w:b w:val="1"/>
              <w:color w:val="F58220"/>
              <w:sz w:val="28"/>
            </w:rPr>
            <w:t>КонсультантПлюс</w:t>
          </w:r>
          <w:r>
            <w:rPr>
              <w:rFonts w:ascii="Tahoma" w:hAnsi="Tahoma"/>
              <w:b w:val="1"/>
              <w:sz w:val="16"/>
            </w:rPr>
            <w:br/>
          </w:r>
          <w:r>
            <w:rPr>
              <w:rFonts w:ascii="Tahoma" w:hAnsi="Tahoma"/>
              <w:b w:val="1"/>
              <w:sz w:val="16"/>
            </w:rPr>
            <w:t>надежная правовая поддержка</w:t>
          </w:r>
        </w:p>
      </w:tc>
      <w:tc>
        <w:tcPr>
          <w:tcW w:type="dxa" w:w="3470"/>
          <w:tcMar>
            <w:left w:type="dxa" w:w="40"/>
            <w:right w:type="dxa" w:w="40"/>
          </w:tcMar>
          <w:vAlign w:val="center"/>
        </w:tcPr>
        <w:p w14:paraId="10000000">
          <w:pPr>
            <w:widowControl w:val="1"/>
            <w:ind/>
            <w:jc w:val="center"/>
          </w:pPr>
          <w:r>
            <w:rPr>
              <w:rFonts w:ascii="Tahoma" w:hAnsi="Tahoma"/>
              <w:b w:val="1"/>
              <w:color w:val="0000FF"/>
            </w:rPr>
            <w:fldChar w:fldCharType="begin"/>
          </w:r>
          <w:r>
            <w:rPr>
              <w:rFonts w:ascii="Tahoma" w:hAnsi="Tahoma"/>
              <w:b w:val="1"/>
              <w:color w:val="0000FF"/>
            </w:rPr>
            <w:instrText>HYPERLINK "https://www.consultant.ru"</w:instrText>
          </w:r>
          <w:r>
            <w:rPr>
              <w:rFonts w:ascii="Tahoma" w:hAnsi="Tahoma"/>
              <w:b w:val="1"/>
              <w:color w:val="0000FF"/>
            </w:rPr>
            <w:fldChar w:fldCharType="separate"/>
          </w:r>
          <w:r>
            <w:rPr>
              <w:rFonts w:ascii="Tahoma" w:hAnsi="Tahoma"/>
              <w:b w:val="1"/>
              <w:color w:val="0000FF"/>
            </w:rPr>
            <w:t>www.consultant.ru</w:t>
          </w:r>
          <w:r>
            <w:rPr>
              <w:rFonts w:ascii="Tahoma" w:hAnsi="Tahoma"/>
              <w:b w:val="1"/>
              <w:color w:val="0000FF"/>
            </w:rPr>
            <w:fldChar w:fldCharType="end"/>
          </w:r>
        </w:p>
      </w:tc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11000000">
          <w:r>
            <w:rPr>
              <w:rFonts w:ascii="Tahoma" w:hAnsi="Tahoma"/>
            </w:rPr>
            <w:t xml:space="preserve">Страница </w:t>
          </w:r>
          <w:r>
            <w:fldChar w:fldCharType="begin"/>
          </w:r>
          <w:r>
            <w:instrText xml:space="preserve">PAGE </w:instrText>
          </w:r>
          <w:r>
            <w:fldChar w:fldCharType="separate"/>
          </w:r>
          <w:r>
            <w:t xml:space="preserve"> </w:t>
          </w:r>
          <w:r>
            <w:fldChar w:fldCharType="end"/>
          </w:r>
          <w:r>
            <w:rPr>
              <w:rFonts w:ascii="Tahoma" w:hAnsi="Tahoma"/>
            </w:rPr>
            <w:t xml:space="preserve"> из </w:t>
          </w:r>
          <w:r>
            <w:fldChar w:fldCharType="begin"/>
          </w:r>
          <w:r>
            <w:instrText xml:space="preserve">NUMPAGES </w:instrText>
          </w:r>
          <w:r>
            <w:fldChar w:fldCharType="separate"/>
          </w:r>
          <w:r>
            <w:t>10</w:t>
          </w:r>
          <w:r>
            <w:fldChar w:fldCharType="end"/>
          </w:r>
        </w:p>
      </w:tc>
    </w:tr>
  </w:tbl>
  <w:p w14:paraId="12000000">
    <w:r>
      <w:rPr>
        <w:sz w:val="2"/>
      </w:rPr>
      <w:t>1</w:t>
    </w: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7000000">
    <w:pPr>
      <w:widowControl w:val="1"/>
      <w:pBdr>
        <w:bottom w:color="000000" w:space="0" w:sz="12" w:val="single"/>
      </w:pBdr>
      <w:ind/>
      <w:rPr>
        <w:sz w:val="2"/>
      </w:rPr>
    </w:pPr>
  </w:p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3368"/>
      <w:gridCol w:w="3470"/>
      <w:gridCol w:w="3368"/>
    </w:tblGrid>
    <w:tr>
      <w:trPr>
        <w:trHeight w:hRule="exact" w:val="1663"/>
      </w:trPr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18000000">
          <w:r>
            <w:rPr>
              <w:rFonts w:ascii="Tahoma" w:hAnsi="Tahoma"/>
              <w:b w:val="1"/>
              <w:color w:val="F58220"/>
              <w:sz w:val="28"/>
            </w:rPr>
            <w:t>КонсультантПлюс</w:t>
          </w:r>
          <w:r>
            <w:rPr>
              <w:rFonts w:ascii="Tahoma" w:hAnsi="Tahoma"/>
              <w:b w:val="1"/>
              <w:sz w:val="16"/>
            </w:rPr>
            <w:br/>
          </w:r>
          <w:r>
            <w:rPr>
              <w:rFonts w:ascii="Tahoma" w:hAnsi="Tahoma"/>
              <w:b w:val="1"/>
              <w:sz w:val="16"/>
            </w:rPr>
            <w:t>надежная правовая поддержка</w:t>
          </w:r>
        </w:p>
      </w:tc>
      <w:tc>
        <w:tcPr>
          <w:tcW w:type="dxa" w:w="3470"/>
          <w:tcMar>
            <w:left w:type="dxa" w:w="40"/>
            <w:right w:type="dxa" w:w="40"/>
          </w:tcMar>
          <w:vAlign w:val="center"/>
        </w:tcPr>
        <w:p w14:paraId="19000000">
          <w:pPr>
            <w:widowControl w:val="1"/>
            <w:ind/>
            <w:jc w:val="center"/>
          </w:pPr>
          <w:r>
            <w:rPr>
              <w:rFonts w:ascii="Tahoma" w:hAnsi="Tahoma"/>
              <w:b w:val="1"/>
              <w:color w:val="0000FF"/>
            </w:rPr>
            <w:fldChar w:fldCharType="begin"/>
          </w:r>
          <w:r>
            <w:rPr>
              <w:rFonts w:ascii="Tahoma" w:hAnsi="Tahoma"/>
              <w:b w:val="1"/>
              <w:color w:val="0000FF"/>
            </w:rPr>
            <w:instrText>HYPERLINK "https://www.consultant.ru"</w:instrText>
          </w:r>
          <w:r>
            <w:rPr>
              <w:rFonts w:ascii="Tahoma" w:hAnsi="Tahoma"/>
              <w:b w:val="1"/>
              <w:color w:val="0000FF"/>
            </w:rPr>
            <w:fldChar w:fldCharType="separate"/>
          </w:r>
          <w:r>
            <w:rPr>
              <w:rFonts w:ascii="Tahoma" w:hAnsi="Tahoma"/>
              <w:b w:val="1"/>
              <w:color w:val="0000FF"/>
            </w:rPr>
            <w:t>www.consultant.ru</w:t>
          </w:r>
          <w:r>
            <w:rPr>
              <w:rFonts w:ascii="Tahoma" w:hAnsi="Tahoma"/>
              <w:b w:val="1"/>
              <w:color w:val="0000FF"/>
            </w:rPr>
            <w:fldChar w:fldCharType="end"/>
          </w:r>
        </w:p>
      </w:tc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1A000000">
          <w:r>
            <w:rPr>
              <w:rFonts w:ascii="Tahoma" w:hAnsi="Tahoma"/>
            </w:rPr>
            <w:t xml:space="preserve">Страница </w:t>
          </w:r>
          <w:r>
            <w:fldChar w:fldCharType="begin"/>
          </w:r>
          <w:r>
            <w:instrText xml:space="preserve">PAGE </w:instrText>
          </w:r>
          <w:r>
            <w:fldChar w:fldCharType="separate"/>
          </w:r>
          <w:r>
            <w:t xml:space="preserve"> </w:t>
          </w:r>
          <w:r>
            <w:fldChar w:fldCharType="end"/>
          </w:r>
          <w:r>
            <w:rPr>
              <w:rFonts w:ascii="Tahoma" w:hAnsi="Tahoma"/>
            </w:rPr>
            <w:t xml:space="preserve"> из </w:t>
          </w:r>
          <w:r>
            <w:fldChar w:fldCharType="begin"/>
          </w:r>
          <w:r>
            <w:instrText xml:space="preserve">NUMPAGES </w:instrText>
          </w:r>
          <w:r>
            <w:fldChar w:fldCharType="separate"/>
          </w:r>
          <w:r>
            <w:t>10</w:t>
          </w:r>
          <w:r>
            <w:fldChar w:fldCharType="end"/>
          </w:r>
        </w:p>
      </w:tc>
    </w:tr>
  </w:tbl>
  <w:p w14:paraId="1B000000">
    <w:r>
      <w:rPr>
        <w:sz w:val="2"/>
      </w:rPr>
      <w:t>1</w:t>
    </w:r>
  </w:p>
</w:ftr>
</file>

<file path=word/footer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0000000">
    <w:pPr>
      <w:widowControl w:val="1"/>
      <w:pBdr>
        <w:bottom w:color="000000" w:space="0" w:sz="12" w:val="single"/>
      </w:pBdr>
      <w:ind/>
      <w:rPr>
        <w:sz w:val="2"/>
      </w:rPr>
    </w:pPr>
  </w:p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3368"/>
      <w:gridCol w:w="3470"/>
      <w:gridCol w:w="3368"/>
    </w:tblGrid>
    <w:tr>
      <w:trPr>
        <w:trHeight w:hRule="exact" w:val="1170"/>
      </w:trPr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21000000">
          <w:r>
            <w:rPr>
              <w:rFonts w:ascii="Tahoma" w:hAnsi="Tahoma"/>
              <w:b w:val="1"/>
              <w:color w:val="F58220"/>
              <w:sz w:val="28"/>
            </w:rPr>
            <w:t>КонсультантПлюс</w:t>
          </w:r>
          <w:r>
            <w:rPr>
              <w:rFonts w:ascii="Tahoma" w:hAnsi="Tahoma"/>
              <w:b w:val="1"/>
              <w:sz w:val="16"/>
            </w:rPr>
            <w:br/>
          </w:r>
          <w:r>
            <w:rPr>
              <w:rFonts w:ascii="Tahoma" w:hAnsi="Tahoma"/>
              <w:b w:val="1"/>
              <w:sz w:val="16"/>
            </w:rPr>
            <w:t>надежная правовая поддержка</w:t>
          </w:r>
        </w:p>
      </w:tc>
      <w:tc>
        <w:tcPr>
          <w:tcW w:type="dxa" w:w="3470"/>
          <w:tcMar>
            <w:left w:type="dxa" w:w="40"/>
            <w:right w:type="dxa" w:w="40"/>
          </w:tcMar>
          <w:vAlign w:val="center"/>
        </w:tcPr>
        <w:p w14:paraId="22000000">
          <w:pPr>
            <w:widowControl w:val="1"/>
            <w:ind/>
            <w:jc w:val="center"/>
          </w:pPr>
          <w:r>
            <w:rPr>
              <w:rFonts w:ascii="Tahoma" w:hAnsi="Tahoma"/>
              <w:b w:val="1"/>
              <w:color w:val="0000FF"/>
            </w:rPr>
            <w:fldChar w:fldCharType="begin"/>
          </w:r>
          <w:r>
            <w:rPr>
              <w:rFonts w:ascii="Tahoma" w:hAnsi="Tahoma"/>
              <w:b w:val="1"/>
              <w:color w:val="0000FF"/>
            </w:rPr>
            <w:instrText>HYPERLINK "https://www.consultant.ru"</w:instrText>
          </w:r>
          <w:r>
            <w:rPr>
              <w:rFonts w:ascii="Tahoma" w:hAnsi="Tahoma"/>
              <w:b w:val="1"/>
              <w:color w:val="0000FF"/>
            </w:rPr>
            <w:fldChar w:fldCharType="separate"/>
          </w:r>
          <w:r>
            <w:rPr>
              <w:rFonts w:ascii="Tahoma" w:hAnsi="Tahoma"/>
              <w:b w:val="1"/>
              <w:color w:val="0000FF"/>
            </w:rPr>
            <w:t>www.consultant.ru</w:t>
          </w:r>
          <w:r>
            <w:rPr>
              <w:rFonts w:ascii="Tahoma" w:hAnsi="Tahoma"/>
              <w:b w:val="1"/>
              <w:color w:val="0000FF"/>
            </w:rPr>
            <w:fldChar w:fldCharType="end"/>
          </w:r>
        </w:p>
      </w:tc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23000000">
          <w:r>
            <w:rPr>
              <w:rFonts w:ascii="Tahoma" w:hAnsi="Tahoma"/>
            </w:rPr>
            <w:t xml:space="preserve">Страница </w:t>
          </w:r>
          <w:r>
            <w:fldChar w:fldCharType="begin"/>
          </w:r>
          <w:r>
            <w:instrText xml:space="preserve">PAGE </w:instrText>
          </w:r>
          <w:r>
            <w:fldChar w:fldCharType="separate"/>
          </w:r>
          <w:r>
            <w:t xml:space="preserve"> </w:t>
          </w:r>
          <w:r>
            <w:fldChar w:fldCharType="end"/>
          </w:r>
          <w:r>
            <w:rPr>
              <w:rFonts w:ascii="Tahoma" w:hAnsi="Tahoma"/>
            </w:rPr>
            <w:t xml:space="preserve"> из </w:t>
          </w:r>
          <w:r>
            <w:fldChar w:fldCharType="begin"/>
          </w:r>
          <w:r>
            <w:instrText xml:space="preserve">NUMPAGES </w:instrText>
          </w:r>
          <w:r>
            <w:fldChar w:fldCharType="separate"/>
          </w:r>
          <w:r>
            <w:t>10</w:t>
          </w:r>
          <w:r>
            <w:fldChar w:fldCharType="end"/>
          </w:r>
        </w:p>
      </w:tc>
    </w:tr>
  </w:tbl>
  <w:p w14:paraId="24000000">
    <w:r>
      <w:rPr>
        <w:sz w:val="2"/>
      </w:rPr>
      <w:t>1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5512"/>
      <w:gridCol w:w="4695"/>
    </w:tblGrid>
    <w:tr>
      <w:trPr>
        <w:trHeight w:hRule="exact" w:val="1190"/>
      </w:trPr>
      <w:tc>
        <w:tcPr>
          <w:tcW w:type="dxa" w:w="5512"/>
          <w:tcMar>
            <w:left w:type="dxa" w:w="40"/>
            <w:right w:type="dxa" w:w="40"/>
          </w:tcMar>
          <w:vAlign w:val="center"/>
        </w:tcPr>
        <w:p w14:paraId="01000000">
          <w:pPr>
            <w:rPr>
              <w:rFonts w:ascii="Tahoma" w:hAnsi="Tahoma"/>
            </w:rPr>
          </w:pPr>
          <w:r>
            <w:rPr>
              <w:rFonts w:ascii="Tahoma" w:hAnsi="Tahoma"/>
              <w:sz w:val="16"/>
            </w:rPr>
            <w:t>Приказ Госкорпорации "Росатом" от 24.03.2026 N 1/481-П</w:t>
          </w:r>
          <w:r>
            <w:rPr>
              <w:rFonts w:ascii="Tahoma" w:hAnsi="Tahoma"/>
              <w:sz w:val="16"/>
            </w:rPr>
            <w:br/>
          </w:r>
          <w:r>
            <w:rPr>
              <w:rFonts w:ascii="Tahoma" w:hAnsi="Tahoma"/>
              <w:sz w:val="16"/>
            </w:rPr>
            <w:t>"Об утверждении Плана первоочередных мероприятий по противодейств...</w:t>
          </w:r>
        </w:p>
      </w:tc>
      <w:tc>
        <w:tcPr>
          <w:tcW w:type="dxa" w:w="4695"/>
          <w:tcMar>
            <w:left w:type="dxa" w:w="40"/>
            <w:right w:type="dxa" w:w="40"/>
          </w:tcMar>
          <w:vAlign w:val="center"/>
        </w:tcPr>
        <w:p w14:paraId="02000000">
          <w:pPr>
            <w:rPr>
              <w:rFonts w:ascii="Tahoma" w:hAnsi="Tahoma"/>
            </w:rPr>
          </w:pPr>
          <w:r>
            <w:rPr>
              <w:rFonts w:ascii="Tahoma" w:hAnsi="Tahoma"/>
              <w:sz w:val="18"/>
            </w:rPr>
            <w:t xml:space="preserve">Документ предоставлен </w:t>
          </w:r>
          <w:r>
            <w:rPr>
              <w:rFonts w:ascii="Tahoma" w:hAnsi="Tahoma"/>
              <w:color w:val="0000FF"/>
              <w:sz w:val="18"/>
            </w:rPr>
            <w:fldChar w:fldCharType="begin"/>
          </w:r>
          <w:r>
            <w:rPr>
              <w:rFonts w:ascii="Tahoma" w:hAnsi="Tahoma"/>
              <w:color w:val="0000FF"/>
              <w:sz w:val="18"/>
            </w:rPr>
            <w:instrText>HYPERLINK "https://www.consultant.ru" \o "КонсультантПлюс - надежная правовая система"</w:instrText>
          </w:r>
          <w:r>
            <w:rPr>
              <w:rFonts w:ascii="Tahoma" w:hAnsi="Tahoma"/>
              <w:color w:val="0000FF"/>
              <w:sz w:val="18"/>
            </w:rPr>
            <w:fldChar w:fldCharType="separate"/>
          </w:r>
          <w:r>
            <w:rPr>
              <w:rFonts w:ascii="Tahoma" w:hAnsi="Tahoma"/>
              <w:color w:val="0000FF"/>
              <w:sz w:val="18"/>
            </w:rPr>
            <w:t>КонсультантПлюс</w:t>
          </w:r>
          <w:r>
            <w:rPr>
              <w:rFonts w:ascii="Tahoma" w:hAnsi="Tahoma"/>
              <w:color w:val="0000FF"/>
              <w:sz w:val="18"/>
            </w:rPr>
            <w:fldChar w:fldCharType="end"/>
          </w:r>
          <w:r>
            <w:rPr>
              <w:rFonts w:ascii="Tahoma" w:hAnsi="Tahoma"/>
              <w:sz w:val="18"/>
            </w:rPr>
            <w:br/>
          </w:r>
          <w:r>
            <w:rPr>
              <w:rFonts w:ascii="Tahoma" w:hAnsi="Tahoma"/>
              <w:sz w:val="16"/>
            </w:rPr>
            <w:t>Дата сохранения: 21.08.2026</w:t>
          </w:r>
        </w:p>
      </w:tc>
    </w:tr>
  </w:tbl>
  <w:p w14:paraId="03000000">
    <w:pPr>
      <w:widowControl w:val="1"/>
      <w:pBdr>
        <w:bottom w:color="000000" w:space="0" w:sz="12" w:val="single"/>
      </w:pBdr>
      <w:ind/>
      <w:rPr>
        <w:sz w:val="2"/>
      </w:rPr>
    </w:pPr>
  </w:p>
  <w:p w14:paraId="04000000"/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5512"/>
      <w:gridCol w:w="4695"/>
    </w:tblGrid>
    <w:tr>
      <w:trPr>
        <w:trHeight w:hRule="exact" w:val="1683"/>
      </w:trPr>
      <w:tc>
        <w:tcPr>
          <w:tcW w:type="dxa" w:w="5512"/>
          <w:tcMar>
            <w:left w:type="dxa" w:w="40"/>
            <w:right w:type="dxa" w:w="40"/>
          </w:tcMar>
          <w:vAlign w:val="center"/>
        </w:tcPr>
        <w:p w14:paraId="0A000000">
          <w:pPr>
            <w:rPr>
              <w:rFonts w:ascii="Tahoma" w:hAnsi="Tahoma"/>
            </w:rPr>
          </w:pPr>
          <w:r>
            <w:rPr>
              <w:rFonts w:ascii="Tahoma" w:hAnsi="Tahoma"/>
              <w:sz w:val="16"/>
            </w:rPr>
            <w:t>Приказ Госкорпорации "Росатом" от 24.03.2026 N 1/481-П</w:t>
          </w:r>
          <w:r>
            <w:rPr>
              <w:rFonts w:ascii="Tahoma" w:hAnsi="Tahoma"/>
              <w:sz w:val="16"/>
            </w:rPr>
            <w:br/>
          </w:r>
          <w:r>
            <w:rPr>
              <w:rFonts w:ascii="Tahoma" w:hAnsi="Tahoma"/>
              <w:sz w:val="16"/>
            </w:rPr>
            <w:t>"Об утверждении Плана первоочередных мероприятий по противодейств...</w:t>
          </w:r>
        </w:p>
      </w:tc>
      <w:tc>
        <w:tcPr>
          <w:tcW w:type="dxa" w:w="4695"/>
          <w:tcMar>
            <w:left w:type="dxa" w:w="40"/>
            <w:right w:type="dxa" w:w="40"/>
          </w:tcMar>
          <w:vAlign w:val="center"/>
        </w:tcPr>
        <w:p w14:paraId="0B000000">
          <w:pPr>
            <w:rPr>
              <w:rFonts w:ascii="Tahoma" w:hAnsi="Tahoma"/>
            </w:rPr>
          </w:pPr>
          <w:r>
            <w:rPr>
              <w:rFonts w:ascii="Tahoma" w:hAnsi="Tahoma"/>
              <w:sz w:val="18"/>
            </w:rPr>
            <w:t xml:space="preserve">Документ предоставлен </w:t>
          </w:r>
          <w:r>
            <w:rPr>
              <w:rFonts w:ascii="Tahoma" w:hAnsi="Tahoma"/>
              <w:color w:val="0000FF"/>
              <w:sz w:val="18"/>
            </w:rPr>
            <w:fldChar w:fldCharType="begin"/>
          </w:r>
          <w:r>
            <w:rPr>
              <w:rFonts w:ascii="Tahoma" w:hAnsi="Tahoma"/>
              <w:color w:val="0000FF"/>
              <w:sz w:val="18"/>
            </w:rPr>
            <w:instrText>HYPERLINK "https://www.consultant.ru" \o "КонсультантПлюс - надежная правовая система"</w:instrText>
          </w:r>
          <w:r>
            <w:rPr>
              <w:rFonts w:ascii="Tahoma" w:hAnsi="Tahoma"/>
              <w:color w:val="0000FF"/>
              <w:sz w:val="18"/>
            </w:rPr>
            <w:fldChar w:fldCharType="separate"/>
          </w:r>
          <w:r>
            <w:rPr>
              <w:rFonts w:ascii="Tahoma" w:hAnsi="Tahoma"/>
              <w:color w:val="0000FF"/>
              <w:sz w:val="18"/>
            </w:rPr>
            <w:t>КонсультантПлюс</w:t>
          </w:r>
          <w:r>
            <w:rPr>
              <w:rFonts w:ascii="Tahoma" w:hAnsi="Tahoma"/>
              <w:color w:val="0000FF"/>
              <w:sz w:val="18"/>
            </w:rPr>
            <w:fldChar w:fldCharType="end"/>
          </w:r>
          <w:r>
            <w:rPr>
              <w:rFonts w:ascii="Tahoma" w:hAnsi="Tahoma"/>
              <w:sz w:val="18"/>
            </w:rPr>
            <w:br/>
          </w:r>
          <w:r>
            <w:rPr>
              <w:rFonts w:ascii="Tahoma" w:hAnsi="Tahoma"/>
              <w:sz w:val="16"/>
            </w:rPr>
            <w:t>Дата сохранения: 21.08.2026</w:t>
          </w:r>
        </w:p>
      </w:tc>
    </w:tr>
  </w:tbl>
  <w:p w14:paraId="0C000000">
    <w:pPr>
      <w:widowControl w:val="1"/>
      <w:pBdr>
        <w:bottom w:color="000000" w:space="0" w:sz="12" w:val="single"/>
      </w:pBdr>
      <w:ind/>
      <w:rPr>
        <w:sz w:val="2"/>
      </w:rPr>
    </w:pPr>
  </w:p>
  <w:p w14:paraId="0D000000"/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5512"/>
      <w:gridCol w:w="4695"/>
    </w:tblGrid>
    <w:tr>
      <w:trPr>
        <w:trHeight w:hRule="exact" w:val="1683"/>
      </w:trPr>
      <w:tc>
        <w:tcPr>
          <w:tcW w:type="dxa" w:w="5512"/>
          <w:tcMar>
            <w:left w:type="dxa" w:w="40"/>
            <w:right w:type="dxa" w:w="40"/>
          </w:tcMar>
          <w:vAlign w:val="center"/>
        </w:tcPr>
        <w:p w14:paraId="13000000">
          <w:pPr>
            <w:rPr>
              <w:rFonts w:ascii="Tahoma" w:hAnsi="Tahoma"/>
            </w:rPr>
          </w:pPr>
          <w:r>
            <w:rPr>
              <w:rFonts w:ascii="Tahoma" w:hAnsi="Tahoma"/>
              <w:sz w:val="16"/>
            </w:rPr>
            <w:t>Приказ Госкорпорации "Росатом" от 24.03.2026 N 1/481-П</w:t>
          </w:r>
          <w:r>
            <w:rPr>
              <w:rFonts w:ascii="Tahoma" w:hAnsi="Tahoma"/>
              <w:sz w:val="16"/>
            </w:rPr>
            <w:br/>
          </w:r>
          <w:r>
            <w:rPr>
              <w:rFonts w:ascii="Tahoma" w:hAnsi="Tahoma"/>
              <w:sz w:val="16"/>
            </w:rPr>
            <w:t>"Об утверждении Плана первоочередных мероприятий по противодейств...</w:t>
          </w:r>
        </w:p>
      </w:tc>
      <w:tc>
        <w:tcPr>
          <w:tcW w:type="dxa" w:w="4695"/>
          <w:tcMar>
            <w:left w:type="dxa" w:w="40"/>
            <w:right w:type="dxa" w:w="40"/>
          </w:tcMar>
          <w:vAlign w:val="center"/>
        </w:tcPr>
        <w:p w14:paraId="14000000">
          <w:pPr>
            <w:rPr>
              <w:rFonts w:ascii="Tahoma" w:hAnsi="Tahoma"/>
            </w:rPr>
          </w:pPr>
          <w:r>
            <w:rPr>
              <w:rFonts w:ascii="Tahoma" w:hAnsi="Tahoma"/>
              <w:sz w:val="18"/>
            </w:rPr>
            <w:t xml:space="preserve">Документ предоставлен </w:t>
          </w:r>
          <w:r>
            <w:rPr>
              <w:rFonts w:ascii="Tahoma" w:hAnsi="Tahoma"/>
              <w:color w:val="0000FF"/>
              <w:sz w:val="18"/>
            </w:rPr>
            <w:fldChar w:fldCharType="begin"/>
          </w:r>
          <w:r>
            <w:rPr>
              <w:rFonts w:ascii="Tahoma" w:hAnsi="Tahoma"/>
              <w:color w:val="0000FF"/>
              <w:sz w:val="18"/>
            </w:rPr>
            <w:instrText>HYPERLINK "https://www.consultant.ru" \o "КонсультантПлюс - надежная правовая система"</w:instrText>
          </w:r>
          <w:r>
            <w:rPr>
              <w:rFonts w:ascii="Tahoma" w:hAnsi="Tahoma"/>
              <w:color w:val="0000FF"/>
              <w:sz w:val="18"/>
            </w:rPr>
            <w:fldChar w:fldCharType="separate"/>
          </w:r>
          <w:r>
            <w:rPr>
              <w:rFonts w:ascii="Tahoma" w:hAnsi="Tahoma"/>
              <w:color w:val="0000FF"/>
              <w:sz w:val="18"/>
            </w:rPr>
            <w:t>КонсультантПлюс</w:t>
          </w:r>
          <w:r>
            <w:rPr>
              <w:rFonts w:ascii="Tahoma" w:hAnsi="Tahoma"/>
              <w:color w:val="0000FF"/>
              <w:sz w:val="18"/>
            </w:rPr>
            <w:fldChar w:fldCharType="end"/>
          </w:r>
          <w:r>
            <w:rPr>
              <w:rFonts w:ascii="Tahoma" w:hAnsi="Tahoma"/>
              <w:sz w:val="18"/>
            </w:rPr>
            <w:br/>
          </w:r>
          <w:r>
            <w:rPr>
              <w:rFonts w:ascii="Tahoma" w:hAnsi="Tahoma"/>
              <w:sz w:val="16"/>
            </w:rPr>
            <w:t>Дата сохранения: 21.08.2026</w:t>
          </w:r>
        </w:p>
      </w:tc>
    </w:tr>
  </w:tbl>
  <w:p w14:paraId="15000000">
    <w:pPr>
      <w:widowControl w:val="1"/>
      <w:pBdr>
        <w:bottom w:color="000000" w:space="0" w:sz="12" w:val="single"/>
      </w:pBdr>
      <w:ind/>
      <w:rPr>
        <w:sz w:val="2"/>
      </w:rPr>
    </w:pPr>
  </w:p>
  <w:p w14:paraId="16000000"/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5512"/>
      <w:gridCol w:w="4695"/>
    </w:tblGrid>
    <w:tr>
      <w:trPr>
        <w:trHeight w:hRule="exact" w:val="1190"/>
      </w:trPr>
      <w:tc>
        <w:tcPr>
          <w:tcW w:type="dxa" w:w="5512"/>
          <w:tcMar>
            <w:left w:type="dxa" w:w="40"/>
            <w:right w:type="dxa" w:w="40"/>
          </w:tcMar>
          <w:vAlign w:val="center"/>
        </w:tcPr>
        <w:p w14:paraId="1C000000">
          <w:pPr>
            <w:rPr>
              <w:rFonts w:ascii="Tahoma" w:hAnsi="Tahoma"/>
            </w:rPr>
          </w:pPr>
          <w:r>
            <w:rPr>
              <w:rFonts w:ascii="Tahoma" w:hAnsi="Tahoma"/>
              <w:sz w:val="16"/>
            </w:rPr>
            <w:t>Приказ Госкорпорации "Росатом" от 24.03.2026 N 1/481-П</w:t>
          </w:r>
          <w:r>
            <w:rPr>
              <w:rFonts w:ascii="Tahoma" w:hAnsi="Tahoma"/>
              <w:sz w:val="16"/>
            </w:rPr>
            <w:br/>
          </w:r>
          <w:r>
            <w:rPr>
              <w:rFonts w:ascii="Tahoma" w:hAnsi="Tahoma"/>
              <w:sz w:val="16"/>
            </w:rPr>
            <w:t>"Об утверждении Плана первоочередных мероприятий по противодейств...</w:t>
          </w:r>
        </w:p>
      </w:tc>
      <w:tc>
        <w:tcPr>
          <w:tcW w:type="dxa" w:w="4695"/>
          <w:tcMar>
            <w:left w:type="dxa" w:w="40"/>
            <w:right w:type="dxa" w:w="40"/>
          </w:tcMar>
          <w:vAlign w:val="center"/>
        </w:tcPr>
        <w:p w14:paraId="1D000000">
          <w:pPr>
            <w:rPr>
              <w:rFonts w:ascii="Tahoma" w:hAnsi="Tahoma"/>
            </w:rPr>
          </w:pPr>
          <w:r>
            <w:rPr>
              <w:rFonts w:ascii="Tahoma" w:hAnsi="Tahoma"/>
              <w:sz w:val="18"/>
            </w:rPr>
            <w:t xml:space="preserve">Документ предоставлен </w:t>
          </w:r>
          <w:r>
            <w:rPr>
              <w:rFonts w:ascii="Tahoma" w:hAnsi="Tahoma"/>
              <w:color w:val="0000FF"/>
              <w:sz w:val="18"/>
            </w:rPr>
            <w:fldChar w:fldCharType="begin"/>
          </w:r>
          <w:r>
            <w:rPr>
              <w:rFonts w:ascii="Tahoma" w:hAnsi="Tahoma"/>
              <w:color w:val="0000FF"/>
              <w:sz w:val="18"/>
            </w:rPr>
            <w:instrText>HYPERLINK "https://www.consultant.ru" \o "КонсультантПлюс - надежная правовая система"</w:instrText>
          </w:r>
          <w:r>
            <w:rPr>
              <w:rFonts w:ascii="Tahoma" w:hAnsi="Tahoma"/>
              <w:color w:val="0000FF"/>
              <w:sz w:val="18"/>
            </w:rPr>
            <w:fldChar w:fldCharType="separate"/>
          </w:r>
          <w:r>
            <w:rPr>
              <w:rFonts w:ascii="Tahoma" w:hAnsi="Tahoma"/>
              <w:color w:val="0000FF"/>
              <w:sz w:val="18"/>
            </w:rPr>
            <w:t>КонсультантПлюс</w:t>
          </w:r>
          <w:r>
            <w:rPr>
              <w:rFonts w:ascii="Tahoma" w:hAnsi="Tahoma"/>
              <w:color w:val="0000FF"/>
              <w:sz w:val="18"/>
            </w:rPr>
            <w:fldChar w:fldCharType="end"/>
          </w:r>
          <w:r>
            <w:rPr>
              <w:rFonts w:ascii="Tahoma" w:hAnsi="Tahoma"/>
              <w:sz w:val="18"/>
            </w:rPr>
            <w:br/>
          </w:r>
          <w:r>
            <w:rPr>
              <w:rFonts w:ascii="Tahoma" w:hAnsi="Tahoma"/>
              <w:sz w:val="16"/>
            </w:rPr>
            <w:t>Дата сохранения: 21.08.2026</w:t>
          </w:r>
        </w:p>
      </w:tc>
    </w:tr>
  </w:tbl>
  <w:p w14:paraId="1E000000">
    <w:pPr>
      <w:widowControl w:val="1"/>
      <w:pBdr>
        <w:bottom w:color="000000" w:space="0" w:sz="12" w:val="single"/>
      </w:pBdr>
      <w:ind/>
      <w:rPr>
        <w:sz w:val="2"/>
      </w:rPr>
    </w:pPr>
  </w:p>
  <w:p w14:paraId="1F000000"/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ConsPlusNormal"/>
    <w:link w:val="Style_2_ch"/>
    <w:pPr>
      <w:widowControl w:val="0"/>
      <w:ind/>
    </w:pPr>
    <w:rPr>
      <w:rFonts w:ascii="Times New Roman" w:hAnsi="Times New Roman"/>
      <w:sz w:val="24"/>
    </w:rPr>
  </w:style>
  <w:style w:default="1" w:styleId="Style_2_ch" w:type="character">
    <w:name w:val="ConsPlusNormal"/>
    <w:link w:val="Style_2"/>
    <w:rPr>
      <w:rFonts w:ascii="Times New Roman" w:hAnsi="Times New Roman"/>
      <w:sz w:val="24"/>
    </w:rPr>
  </w:style>
  <w:style w:styleId="Style_4" w:type="paragraph">
    <w:name w:val="toc 2"/>
    <w:next w:val="Style_5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6" w:type="paragraph">
    <w:name w:val="ConsPlusTextList"/>
    <w:link w:val="Style_6_ch"/>
    <w:pPr>
      <w:widowControl w:val="0"/>
      <w:ind/>
    </w:pPr>
    <w:rPr>
      <w:rFonts w:ascii="Times New Roman" w:hAnsi="Times New Roman"/>
      <w:sz w:val="24"/>
    </w:rPr>
  </w:style>
  <w:style w:styleId="Style_6_ch" w:type="character">
    <w:name w:val="ConsPlusTextList"/>
    <w:link w:val="Style_6"/>
    <w:rPr>
      <w:rFonts w:ascii="Times New Roman" w:hAnsi="Times New Roman"/>
      <w:sz w:val="24"/>
    </w:rPr>
  </w:style>
  <w:style w:styleId="Style_7" w:type="paragraph">
    <w:name w:val="ConsPlusJurTerm"/>
    <w:link w:val="Style_7_ch"/>
    <w:pPr>
      <w:widowControl w:val="0"/>
      <w:ind/>
    </w:pPr>
    <w:rPr>
      <w:rFonts w:ascii="Tahoma" w:hAnsi="Tahoma"/>
      <w:sz w:val="26"/>
    </w:rPr>
  </w:style>
  <w:style w:styleId="Style_7_ch" w:type="character">
    <w:name w:val="ConsPlusJurTerm"/>
    <w:link w:val="Style_7"/>
    <w:rPr>
      <w:rFonts w:ascii="Tahoma" w:hAnsi="Tahoma"/>
      <w:sz w:val="26"/>
    </w:rPr>
  </w:style>
  <w:style w:styleId="Style_8" w:type="paragraph">
    <w:name w:val="toc 4"/>
    <w:next w:val="Style_5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5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ConsPlusTextList"/>
    <w:link w:val="Style_11_ch"/>
    <w:pPr>
      <w:widowControl w:val="0"/>
      <w:ind/>
    </w:pPr>
    <w:rPr>
      <w:rFonts w:ascii="Times New Roman" w:hAnsi="Times New Roman"/>
      <w:sz w:val="24"/>
    </w:rPr>
  </w:style>
  <w:style w:styleId="Style_11_ch" w:type="character">
    <w:name w:val="ConsPlusTextList"/>
    <w:link w:val="Style_11"/>
    <w:rPr>
      <w:rFonts w:ascii="Times New Roman" w:hAnsi="Times New Roman"/>
      <w:sz w:val="24"/>
    </w:rPr>
  </w:style>
  <w:style w:styleId="Style_5" w:type="paragraph">
    <w:name w:val="Normal"/>
    <w:link w:val="Style_5_ch"/>
    <w:uiPriority w:val="0"/>
    <w:qFormat/>
  </w:style>
  <w:style w:styleId="Style_5_ch" w:type="character">
    <w:name w:val="Normal"/>
    <w:link w:val="Style_5"/>
  </w:style>
  <w:style w:styleId="Style_12" w:type="paragraph">
    <w:name w:val="ConsPlusJurTerm"/>
    <w:link w:val="Style_12_ch"/>
    <w:pPr>
      <w:widowControl w:val="0"/>
      <w:ind/>
    </w:pPr>
    <w:rPr>
      <w:rFonts w:ascii="Tahoma" w:hAnsi="Tahoma"/>
      <w:sz w:val="26"/>
    </w:rPr>
  </w:style>
  <w:style w:styleId="Style_12_ch" w:type="character">
    <w:name w:val="ConsPlusJurTerm"/>
    <w:link w:val="Style_12"/>
    <w:rPr>
      <w:rFonts w:ascii="Tahoma" w:hAnsi="Tahoma"/>
      <w:sz w:val="26"/>
    </w:rPr>
  </w:style>
  <w:style w:styleId="Style_13" w:type="paragraph">
    <w:name w:val="End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next w:val="Style_5"/>
    <w:link w:val="Style_14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4_ch" w:type="character">
    <w:name w:val="heading 3"/>
    <w:link w:val="Style_14"/>
    <w:rPr>
      <w:rFonts w:ascii="XO Thames" w:hAnsi="XO Thames"/>
      <w:b w:val="1"/>
      <w:sz w:val="26"/>
    </w:rPr>
  </w:style>
  <w:style w:styleId="Style_15" w:type="paragraph">
    <w:name w:val="ConsPlusJurTerm"/>
    <w:link w:val="Style_15_ch"/>
    <w:pPr>
      <w:widowControl w:val="0"/>
      <w:ind/>
    </w:pPr>
    <w:rPr>
      <w:rFonts w:ascii="Tahoma" w:hAnsi="Tahoma"/>
      <w:sz w:val="26"/>
    </w:rPr>
  </w:style>
  <w:style w:styleId="Style_15_ch" w:type="character">
    <w:name w:val="ConsPlusJurTerm"/>
    <w:link w:val="Style_15"/>
    <w:rPr>
      <w:rFonts w:ascii="Tahoma" w:hAnsi="Tahoma"/>
      <w:sz w:val="26"/>
    </w:rPr>
  </w:style>
  <w:style w:styleId="Style_16" w:type="paragraph">
    <w:name w:val="ConsPlusNonformat"/>
    <w:link w:val="Style_16_ch"/>
    <w:pPr>
      <w:widowControl w:val="0"/>
      <w:ind/>
    </w:pPr>
    <w:rPr>
      <w:rFonts w:ascii="Courier New" w:hAnsi="Courier New"/>
      <w:sz w:val="20"/>
    </w:rPr>
  </w:style>
  <w:style w:styleId="Style_16_ch" w:type="character">
    <w:name w:val="ConsPlusNonformat"/>
    <w:link w:val="Style_16"/>
    <w:rPr>
      <w:rFonts w:ascii="Courier New" w:hAnsi="Courier New"/>
      <w:sz w:val="20"/>
    </w:rPr>
  </w:style>
  <w:style w:styleId="Style_1" w:type="paragraph">
    <w:name w:val="ConsPlusTitlePage"/>
    <w:link w:val="Style_1_ch"/>
    <w:pPr>
      <w:widowControl w:val="0"/>
      <w:ind/>
    </w:pPr>
    <w:rPr>
      <w:rFonts w:ascii="Tahoma" w:hAnsi="Tahoma"/>
      <w:sz w:val="20"/>
    </w:rPr>
  </w:style>
  <w:style w:styleId="Style_1_ch" w:type="character">
    <w:name w:val="ConsPlusTitlePage"/>
    <w:link w:val="Style_1"/>
    <w:rPr>
      <w:rFonts w:ascii="Tahoma" w:hAnsi="Tahoma"/>
      <w:sz w:val="20"/>
    </w:rPr>
  </w:style>
  <w:style w:styleId="Style_17" w:type="paragraph">
    <w:name w:val="ConsPlusDocList"/>
    <w:link w:val="Style_17_ch"/>
    <w:pPr>
      <w:widowControl w:val="0"/>
      <w:ind/>
    </w:pPr>
    <w:rPr>
      <w:rFonts w:ascii="Tahoma" w:hAnsi="Tahoma"/>
      <w:sz w:val="18"/>
    </w:rPr>
  </w:style>
  <w:style w:styleId="Style_17_ch" w:type="character">
    <w:name w:val="ConsPlusDocList"/>
    <w:link w:val="Style_17"/>
    <w:rPr>
      <w:rFonts w:ascii="Tahoma" w:hAnsi="Tahoma"/>
      <w:sz w:val="18"/>
    </w:rPr>
  </w:style>
  <w:style w:styleId="Style_18" w:type="paragraph">
    <w:name w:val="toc 3"/>
    <w:next w:val="Style_5"/>
    <w:link w:val="Style_1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19" w:type="paragraph">
    <w:name w:val="ConsPlusTextList"/>
    <w:link w:val="Style_19_ch"/>
    <w:pPr>
      <w:widowControl w:val="0"/>
      <w:ind/>
    </w:pPr>
    <w:rPr>
      <w:rFonts w:ascii="Times New Roman" w:hAnsi="Times New Roman"/>
      <w:sz w:val="24"/>
    </w:rPr>
  </w:style>
  <w:style w:styleId="Style_19_ch" w:type="character">
    <w:name w:val="ConsPlusTextList"/>
    <w:link w:val="Style_19"/>
    <w:rPr>
      <w:rFonts w:ascii="Times New Roman" w:hAnsi="Times New Roman"/>
      <w:sz w:val="24"/>
    </w:rPr>
  </w:style>
  <w:style w:styleId="Style_20" w:type="paragraph">
    <w:name w:val="ConsPlusTextList"/>
    <w:link w:val="Style_20_ch"/>
    <w:pPr>
      <w:widowControl w:val="0"/>
      <w:ind/>
    </w:pPr>
    <w:rPr>
      <w:rFonts w:ascii="Times New Roman" w:hAnsi="Times New Roman"/>
      <w:sz w:val="24"/>
    </w:rPr>
  </w:style>
  <w:style w:styleId="Style_20_ch" w:type="character">
    <w:name w:val="ConsPlusTextList"/>
    <w:link w:val="Style_20"/>
    <w:rPr>
      <w:rFonts w:ascii="Times New Roman" w:hAnsi="Times New Roman"/>
      <w:sz w:val="24"/>
    </w:rPr>
  </w:style>
  <w:style w:styleId="Style_21" w:type="paragraph">
    <w:name w:val="ConsPlusCell"/>
    <w:link w:val="Style_21_ch"/>
    <w:pPr>
      <w:widowControl w:val="0"/>
      <w:ind/>
    </w:pPr>
    <w:rPr>
      <w:rFonts w:ascii="Courier New" w:hAnsi="Courier New"/>
      <w:sz w:val="20"/>
    </w:rPr>
  </w:style>
  <w:style w:styleId="Style_21_ch" w:type="character">
    <w:name w:val="ConsPlusCell"/>
    <w:link w:val="Style_21"/>
    <w:rPr>
      <w:rFonts w:ascii="Courier New" w:hAnsi="Courier New"/>
      <w:sz w:val="20"/>
    </w:rPr>
  </w:style>
  <w:style w:styleId="Style_22" w:type="paragraph">
    <w:name w:val="heading 5"/>
    <w:next w:val="Style_5"/>
    <w:link w:val="Style_2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2_ch" w:type="character">
    <w:name w:val="heading 5"/>
    <w:link w:val="Style_22"/>
    <w:rPr>
      <w:rFonts w:ascii="XO Thames" w:hAnsi="XO Thames"/>
      <w:b w:val="1"/>
      <w:sz w:val="22"/>
    </w:rPr>
  </w:style>
  <w:style w:styleId="Style_23" w:type="paragraph">
    <w:name w:val="heading 1"/>
    <w:next w:val="Style_5"/>
    <w:link w:val="Style_2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3_ch" w:type="character">
    <w:name w:val="heading 1"/>
    <w:link w:val="Style_23"/>
    <w:rPr>
      <w:rFonts w:ascii="XO Thames" w:hAnsi="XO Thames"/>
      <w:b w:val="1"/>
      <w:sz w:val="32"/>
    </w:rPr>
  </w:style>
  <w:style w:styleId="Style_24" w:type="paragraph">
    <w:name w:val="Hyperlink"/>
    <w:link w:val="Style_24_ch"/>
    <w:rPr>
      <w:color w:val="0000FF"/>
      <w:u w:val="single"/>
    </w:rPr>
  </w:style>
  <w:style w:styleId="Style_24_ch" w:type="character">
    <w:name w:val="Hyperlink"/>
    <w:link w:val="Style_24"/>
    <w:rPr>
      <w:color w:val="0000FF"/>
      <w:u w:val="single"/>
    </w:rPr>
  </w:style>
  <w:style w:styleId="Style_25" w:type="paragraph">
    <w:name w:val="Footnote"/>
    <w:link w:val="Style_25_ch"/>
    <w:pPr>
      <w:ind w:firstLine="851" w:left="0"/>
      <w:jc w:val="both"/>
    </w:pPr>
    <w:rPr>
      <w:rFonts w:ascii="XO Thames" w:hAnsi="XO Thames"/>
      <w:sz w:val="22"/>
    </w:rPr>
  </w:style>
  <w:style w:styleId="Style_25_ch" w:type="character">
    <w:name w:val="Footnote"/>
    <w:link w:val="Style_25"/>
    <w:rPr>
      <w:rFonts w:ascii="XO Thames" w:hAnsi="XO Thames"/>
      <w:sz w:val="22"/>
    </w:rPr>
  </w:style>
  <w:style w:styleId="Style_26" w:type="paragraph">
    <w:name w:val="toc 1"/>
    <w:next w:val="Style_5"/>
    <w:link w:val="Style_2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6_ch" w:type="character">
    <w:name w:val="toc 1"/>
    <w:link w:val="Style_26"/>
    <w:rPr>
      <w:rFonts w:ascii="XO Thames" w:hAnsi="XO Thames"/>
      <w:b w:val="1"/>
      <w:sz w:val="28"/>
    </w:rPr>
  </w:style>
  <w:style w:styleId="Style_27" w:type="paragraph">
    <w:name w:val="Header and Footer"/>
    <w:link w:val="Style_27_ch"/>
    <w:pPr>
      <w:spacing w:line="240" w:lineRule="auto"/>
      <w:ind/>
      <w:jc w:val="both"/>
    </w:pPr>
    <w:rPr>
      <w:rFonts w:ascii="XO Thames" w:hAnsi="XO Thames"/>
      <w:sz w:val="28"/>
    </w:rPr>
  </w:style>
  <w:style w:styleId="Style_27_ch" w:type="character">
    <w:name w:val="Header and Footer"/>
    <w:link w:val="Style_27"/>
    <w:rPr>
      <w:rFonts w:ascii="XO Thames" w:hAnsi="XO Thames"/>
      <w:sz w:val="28"/>
    </w:rPr>
  </w:style>
  <w:style w:styleId="Style_28" w:type="paragraph">
    <w:name w:val="ConsPlusNonformat"/>
    <w:link w:val="Style_28_ch"/>
    <w:pPr>
      <w:widowControl w:val="0"/>
      <w:ind/>
    </w:pPr>
    <w:rPr>
      <w:rFonts w:ascii="Courier New" w:hAnsi="Courier New"/>
      <w:sz w:val="20"/>
    </w:rPr>
  </w:style>
  <w:style w:styleId="Style_28_ch" w:type="character">
    <w:name w:val="ConsPlusNonformat"/>
    <w:link w:val="Style_28"/>
    <w:rPr>
      <w:rFonts w:ascii="Courier New" w:hAnsi="Courier New"/>
      <w:sz w:val="20"/>
    </w:rPr>
  </w:style>
  <w:style w:styleId="Style_29" w:type="paragraph">
    <w:name w:val="toc 9"/>
    <w:next w:val="Style_5"/>
    <w:link w:val="Style_2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9_ch" w:type="character">
    <w:name w:val="toc 9"/>
    <w:link w:val="Style_29"/>
    <w:rPr>
      <w:rFonts w:ascii="XO Thames" w:hAnsi="XO Thames"/>
      <w:sz w:val="28"/>
    </w:rPr>
  </w:style>
  <w:style w:styleId="Style_30" w:type="paragraph">
    <w:name w:val="toc 8"/>
    <w:next w:val="Style_5"/>
    <w:link w:val="Style_3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0_ch" w:type="character">
    <w:name w:val="toc 8"/>
    <w:link w:val="Style_30"/>
    <w:rPr>
      <w:rFonts w:ascii="XO Thames" w:hAnsi="XO Thames"/>
      <w:sz w:val="28"/>
    </w:rPr>
  </w:style>
  <w:style w:styleId="Style_3" w:type="paragraph">
    <w:name w:val="ConsPlusTitle"/>
    <w:link w:val="Style_3_ch"/>
    <w:pPr>
      <w:widowControl w:val="0"/>
      <w:ind/>
    </w:pPr>
    <w:rPr>
      <w:rFonts w:ascii="Arial" w:hAnsi="Arial"/>
      <w:b w:val="1"/>
      <w:sz w:val="24"/>
    </w:rPr>
  </w:style>
  <w:style w:styleId="Style_3_ch" w:type="character">
    <w:name w:val="ConsPlusTitle"/>
    <w:link w:val="Style_3"/>
    <w:rPr>
      <w:rFonts w:ascii="Arial" w:hAnsi="Arial"/>
      <w:b w:val="1"/>
      <w:sz w:val="24"/>
    </w:rPr>
  </w:style>
  <w:style w:styleId="Style_31" w:type="paragraph">
    <w:name w:val="ConsPlusTitle"/>
    <w:link w:val="Style_31_ch"/>
    <w:pPr>
      <w:widowControl w:val="0"/>
      <w:ind/>
    </w:pPr>
    <w:rPr>
      <w:rFonts w:ascii="Arial" w:hAnsi="Arial"/>
      <w:b w:val="1"/>
      <w:sz w:val="24"/>
    </w:rPr>
  </w:style>
  <w:style w:styleId="Style_31_ch" w:type="character">
    <w:name w:val="ConsPlusTitle"/>
    <w:link w:val="Style_31"/>
    <w:rPr>
      <w:rFonts w:ascii="Arial" w:hAnsi="Arial"/>
      <w:b w:val="1"/>
      <w:sz w:val="24"/>
    </w:rPr>
  </w:style>
  <w:style w:styleId="Style_32" w:type="paragraph">
    <w:name w:val="toc 5"/>
    <w:next w:val="Style_5"/>
    <w:link w:val="Style_3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2_ch" w:type="character">
    <w:name w:val="toc 5"/>
    <w:link w:val="Style_32"/>
    <w:rPr>
      <w:rFonts w:ascii="XO Thames" w:hAnsi="XO Thames"/>
      <w:sz w:val="28"/>
    </w:rPr>
  </w:style>
  <w:style w:styleId="Style_33" w:type="paragraph">
    <w:name w:val="ConsPlusTitlePage"/>
    <w:link w:val="Style_33_ch"/>
    <w:pPr>
      <w:widowControl w:val="0"/>
      <w:ind/>
    </w:pPr>
    <w:rPr>
      <w:rFonts w:ascii="Tahoma" w:hAnsi="Tahoma"/>
      <w:sz w:val="20"/>
    </w:rPr>
  </w:style>
  <w:style w:styleId="Style_33_ch" w:type="character">
    <w:name w:val="ConsPlusTitlePage"/>
    <w:link w:val="Style_33"/>
    <w:rPr>
      <w:rFonts w:ascii="Tahoma" w:hAnsi="Tahoma"/>
      <w:sz w:val="20"/>
    </w:rPr>
  </w:style>
  <w:style w:styleId="Style_34" w:type="paragraph">
    <w:name w:val="Subtitle"/>
    <w:next w:val="Style_5"/>
    <w:link w:val="Style_3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4_ch" w:type="character">
    <w:name w:val="Subtitle"/>
    <w:link w:val="Style_34"/>
    <w:rPr>
      <w:rFonts w:ascii="XO Thames" w:hAnsi="XO Thames"/>
      <w:i w:val="1"/>
      <w:sz w:val="24"/>
    </w:rPr>
  </w:style>
  <w:style w:styleId="Style_35" w:type="paragraph">
    <w:name w:val="Title"/>
    <w:next w:val="Style_5"/>
    <w:link w:val="Style_3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5_ch" w:type="character">
    <w:name w:val="Title"/>
    <w:link w:val="Style_35"/>
    <w:rPr>
      <w:rFonts w:ascii="XO Thames" w:hAnsi="XO Thames"/>
      <w:b w:val="1"/>
      <w:caps w:val="1"/>
      <w:sz w:val="40"/>
    </w:rPr>
  </w:style>
  <w:style w:styleId="Style_36" w:type="paragraph">
    <w:name w:val="heading 4"/>
    <w:next w:val="Style_5"/>
    <w:link w:val="Style_3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6_ch" w:type="character">
    <w:name w:val="heading 4"/>
    <w:link w:val="Style_36"/>
    <w:rPr>
      <w:rFonts w:ascii="XO Thames" w:hAnsi="XO Thames"/>
      <w:b w:val="1"/>
      <w:sz w:val="24"/>
    </w:rPr>
  </w:style>
  <w:style w:styleId="Style_37" w:type="paragraph">
    <w:name w:val="ConsPlusCell"/>
    <w:link w:val="Style_37_ch"/>
    <w:pPr>
      <w:widowControl w:val="0"/>
      <w:ind/>
    </w:pPr>
    <w:rPr>
      <w:rFonts w:ascii="Courier New" w:hAnsi="Courier New"/>
      <w:sz w:val="20"/>
    </w:rPr>
  </w:style>
  <w:style w:styleId="Style_37_ch" w:type="character">
    <w:name w:val="ConsPlusCell"/>
    <w:link w:val="Style_37"/>
    <w:rPr>
      <w:rFonts w:ascii="Courier New" w:hAnsi="Courier New"/>
      <w:sz w:val="20"/>
    </w:rPr>
  </w:style>
  <w:style w:styleId="Style_38" w:type="paragraph">
    <w:name w:val="ConsPlusDocList"/>
    <w:link w:val="Style_38_ch"/>
    <w:pPr>
      <w:widowControl w:val="0"/>
      <w:ind/>
    </w:pPr>
    <w:rPr>
      <w:rFonts w:ascii="Tahoma" w:hAnsi="Tahoma"/>
      <w:sz w:val="18"/>
    </w:rPr>
  </w:style>
  <w:style w:styleId="Style_38_ch" w:type="character">
    <w:name w:val="ConsPlusDocList"/>
    <w:link w:val="Style_38"/>
    <w:rPr>
      <w:rFonts w:ascii="Tahoma" w:hAnsi="Tahoma"/>
      <w:sz w:val="18"/>
    </w:rPr>
  </w:style>
  <w:style w:styleId="Style_39" w:type="paragraph">
    <w:name w:val="ConsPlusJurTerm"/>
    <w:link w:val="Style_39_ch"/>
    <w:pPr>
      <w:widowControl w:val="0"/>
      <w:ind/>
    </w:pPr>
    <w:rPr>
      <w:rFonts w:ascii="Tahoma" w:hAnsi="Tahoma"/>
      <w:sz w:val="26"/>
    </w:rPr>
  </w:style>
  <w:style w:styleId="Style_39_ch" w:type="character">
    <w:name w:val="ConsPlusJurTerm"/>
    <w:link w:val="Style_39"/>
    <w:rPr>
      <w:rFonts w:ascii="Tahoma" w:hAnsi="Tahoma"/>
      <w:sz w:val="26"/>
    </w:rPr>
  </w:style>
  <w:style w:styleId="Style_40" w:type="paragraph">
    <w:name w:val="heading 2"/>
    <w:next w:val="Style_5"/>
    <w:link w:val="Style_4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0_ch" w:type="character">
    <w:name w:val="heading 2"/>
    <w:link w:val="Style_4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header7.xml" Type="http://schemas.openxmlformats.org/officeDocument/2006/relationships/header"/>
  <Relationship Id="rId6" Target="footer6.xml" Type="http://schemas.openxmlformats.org/officeDocument/2006/relationships/footer"/>
  <Relationship Id="rId14" Target="webSettings.xml" Type="http://schemas.openxmlformats.org/officeDocument/2006/relationships/webSettings"/>
  <Relationship Id="rId13" Target="stylesWithEffects.xml" Type="http://schemas.microsoft.com/office/2007/relationships/stylesWithEffects"/>
  <Relationship Id="rId4" Target="footer4.xml" Type="http://schemas.openxmlformats.org/officeDocument/2006/relationships/footer"/>
  <Relationship Id="rId3" Target="header3.xml" Type="http://schemas.openxmlformats.org/officeDocument/2006/relationships/header"/>
  <Relationship Id="rId12" Target="styles.xml" Type="http://schemas.openxmlformats.org/officeDocument/2006/relationships/styles"/>
  <Relationship Id="rId10" Target="fontTable.xml" Type="http://schemas.openxmlformats.org/officeDocument/2006/relationships/fontTable"/>
  <Relationship Id="rId5" Target="header5.xml" Type="http://schemas.openxmlformats.org/officeDocument/2006/relationships/header"/>
  <Relationship Id="rId11" Target="settings.xml" Type="http://schemas.openxmlformats.org/officeDocument/2006/relationships/settings"/>
  <Relationship Id="rId8" Target="footer8.xml" Type="http://schemas.openxmlformats.org/officeDocument/2006/relationships/footer"/>
  <Relationship Id="rId2" Target="footer2.xml" Type="http://schemas.openxmlformats.org/officeDocument/2006/relationships/footer"/>
  <Relationship Id="rId9" Target="media/1.png" Type="http://schemas.openxmlformats.org/officeDocument/2006/relationships/image"/>
  <Relationship Id="rId15" Target="theme/theme1.xml" Type="http://schemas.openxmlformats.org/officeDocument/2006/relationships/them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2026-08-21T08:00:34Z</dcterms:created>
  <dcterms:modified xsi:type="dcterms:W3CDTF">2026-08-21T08:00:34Z</dcterms:modified>
</cp:coreProperties>
</file>